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长春净月高新技术产业开发区人民法院</w:t>
      </w:r>
    </w:p>
    <w:p>
      <w:pPr>
        <w:keepNext w:val="0"/>
        <w:keepLines w:val="0"/>
        <w:pageBreakBefore w:val="0"/>
        <w:widowControl w:val="0"/>
        <w:suppressAutoHyphens/>
        <w:kinsoku/>
        <w:wordWrap/>
        <w:overflowPunct/>
        <w:topLinePunct w:val="0"/>
        <w:autoSpaceDE/>
        <w:autoSpaceDN/>
        <w:bidi w:val="0"/>
        <w:adjustRightInd/>
        <w:snapToGrid/>
        <w:spacing w:line="580" w:lineRule="exact"/>
        <w:jc w:val="center"/>
        <w:textAlignment w:val="auto"/>
        <w:rPr>
          <w:rFonts w:hint="eastAsia" w:ascii="楷体" w:hAnsi="楷体" w:eastAsia="楷体" w:cs="楷体"/>
          <w:sz w:val="32"/>
          <w:szCs w:val="32"/>
          <w:lang w:val="en-US" w:eastAsia="zh-CN"/>
        </w:rPr>
      </w:pPr>
      <w:r>
        <w:rPr>
          <w:rFonts w:hint="eastAsia" w:ascii="方正小标宋_GBK" w:hAnsi="方正小标宋_GBK" w:eastAsia="方正小标宋_GBK" w:cs="方正小标宋_GBK"/>
          <w:color w:val="auto"/>
          <w:sz w:val="44"/>
          <w:szCs w:val="44"/>
          <w:lang w:val="en-US" w:eastAsia="zh-CN"/>
        </w:rPr>
        <w:t>2023年工作情况报告</w:t>
      </w:r>
    </w:p>
    <w:p>
      <w:pPr>
        <w:keepNext w:val="0"/>
        <w:keepLines w:val="0"/>
        <w:pageBreakBefore w:val="0"/>
        <w:suppressAutoHyphens/>
        <w:kinsoku/>
        <w:wordWrap/>
        <w:overflowPunct/>
        <w:topLinePunct w:val="0"/>
        <w:autoSpaceDE/>
        <w:autoSpaceDN/>
        <w:bidi w:val="0"/>
        <w:adjustRightInd/>
        <w:snapToGrid/>
        <w:spacing w:line="580" w:lineRule="exact"/>
        <w:jc w:val="center"/>
        <w:textAlignment w:val="auto"/>
        <w:rPr>
          <w:rFonts w:ascii="方正楷体_GBK" w:hAnsi="方正楷体_GBK" w:eastAsia="方正楷体_GBK" w:cs="方正楷体_GBK"/>
          <w:b/>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b w:val="0"/>
          <w:bCs/>
          <w:sz w:val="32"/>
          <w:szCs w:val="32"/>
        </w:rPr>
      </w:pPr>
      <w:r>
        <w:rPr>
          <w:rFonts w:hint="eastAsia" w:ascii="仿宋" w:hAnsi="仿宋" w:eastAsia="仿宋" w:cs="仿宋"/>
          <w:b w:val="0"/>
          <w:bCs/>
          <w:sz w:val="32"/>
          <w:szCs w:val="32"/>
        </w:rPr>
        <w:t>2023</w:t>
      </w:r>
      <w:r>
        <w:rPr>
          <w:rFonts w:hint="eastAsia" w:ascii="仿宋" w:hAnsi="仿宋" w:eastAsia="仿宋" w:cs="仿宋"/>
          <w:b w:val="0"/>
          <w:bCs/>
          <w:sz w:val="32"/>
          <w:szCs w:val="32"/>
          <w:lang w:eastAsia="zh-CN"/>
        </w:rPr>
        <w:t>年</w:t>
      </w:r>
      <w:r>
        <w:rPr>
          <w:rFonts w:hint="eastAsia" w:ascii="仿宋" w:hAnsi="仿宋" w:eastAsia="仿宋" w:cs="仿宋"/>
          <w:b w:val="0"/>
          <w:bCs/>
          <w:sz w:val="32"/>
          <w:szCs w:val="32"/>
        </w:rPr>
        <w:t>，净月法院领导班子带领全体人员坚持以习近平新时代中国特色社会主义思想为指导，深入贯彻习近平法治思想，紧紧围绕省、市法院部署开展工作，不断强化政治建设，聚焦审判执行工作，忠实履行职责使命，提升司法服务水平，持续改进司法作风，维护社会和谐稳定，助力辖区经济社会高质量发展，具体汇报如下。</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b w:val="0"/>
          <w:bCs/>
          <w:color w:val="000000"/>
          <w:sz w:val="32"/>
          <w:szCs w:val="32"/>
        </w:rPr>
      </w:pPr>
      <w:r>
        <w:rPr>
          <w:rFonts w:hint="eastAsia" w:ascii="黑体" w:hAnsi="黑体" w:eastAsia="黑体" w:cs="黑体"/>
          <w:b w:val="0"/>
          <w:bCs/>
          <w:color w:val="000000"/>
          <w:sz w:val="32"/>
          <w:szCs w:val="32"/>
        </w:rPr>
        <w:t>一、工作完成情况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（一）忠诚履职，努力提升审判执行工作质效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rPr>
        <w:t>全院共受理各类案件3658件，结案3282 件，结案率89.72% ，结案均衡度96.66% ，旧存案件清理率84.26%。</w:t>
      </w:r>
      <w:r>
        <w:rPr>
          <w:rFonts w:hint="eastAsia" w:ascii="仿宋" w:hAnsi="仿宋" w:eastAsia="仿宋" w:cs="仿宋"/>
          <w:b w:val="0"/>
          <w:bCs/>
          <w:sz w:val="32"/>
          <w:szCs w:val="32"/>
          <w:lang w:eastAsia="zh-CN"/>
        </w:rPr>
        <w:t>（数据未到年末统计</w:t>
      </w:r>
      <w:bookmarkStart w:id="1" w:name="_GoBack"/>
      <w:bookmarkEnd w:id="1"/>
      <w:r>
        <w:rPr>
          <w:rFonts w:hint="eastAsia" w:ascii="仿宋" w:hAnsi="仿宋" w:eastAsia="仿宋" w:cs="仿宋"/>
          <w:b w:val="0"/>
          <w:bCs/>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b/>
          <w:sz w:val="32"/>
          <w:szCs w:val="32"/>
        </w:rPr>
      </w:pPr>
      <w:r>
        <w:rPr>
          <w:rFonts w:hint="eastAsia" w:ascii="仿宋" w:hAnsi="仿宋" w:eastAsia="仿宋" w:cs="仿宋"/>
          <w:b/>
          <w:bCs/>
          <w:sz w:val="32"/>
          <w:szCs w:val="32"/>
          <w:u w:val="none"/>
        </w:rPr>
        <w:t>依法打击刑事犯罪，维护国家和社会安全。</w:t>
      </w:r>
      <w:r>
        <w:rPr>
          <w:rFonts w:hint="eastAsia" w:ascii="仿宋" w:hAnsi="仿宋" w:eastAsia="仿宋" w:cs="仿宋"/>
          <w:b w:val="0"/>
          <w:bCs/>
          <w:sz w:val="32"/>
          <w:szCs w:val="32"/>
        </w:rPr>
        <w:t>受理各类刑事案件139件，结案115件。开展常态化扫黑除恶斗争及打击惩治涉网黑恶犯罪专项行动，进行《反有组织犯罪法》宣传活动；稳妥审慎审理有</w:t>
      </w:r>
      <w:r>
        <w:rPr>
          <w:rFonts w:hint="eastAsia" w:ascii="仿宋" w:hAnsi="仿宋" w:eastAsia="仿宋" w:cs="仿宋"/>
          <w:b w:val="0"/>
          <w:bCs/>
          <w:color w:val="auto"/>
          <w:sz w:val="32"/>
          <w:szCs w:val="32"/>
        </w:rPr>
        <w:t>重大影响的</w:t>
      </w:r>
      <w:r>
        <w:rPr>
          <w:rFonts w:hint="eastAsia" w:ascii="仿宋" w:hAnsi="仿宋" w:eastAsia="仿宋" w:cs="仿宋"/>
          <w:b w:val="0"/>
          <w:bCs/>
          <w:color w:val="auto"/>
          <w:sz w:val="32"/>
          <w:szCs w:val="32"/>
          <w:lang w:eastAsia="zh-CN"/>
        </w:rPr>
        <w:t>案件</w:t>
      </w:r>
      <w:r>
        <w:rPr>
          <w:rFonts w:hint="eastAsia" w:ascii="仿宋" w:hAnsi="仿宋" w:eastAsia="仿宋" w:cs="仿宋"/>
          <w:b w:val="0"/>
          <w:bCs/>
          <w:sz w:val="32"/>
          <w:szCs w:val="32"/>
        </w:rPr>
        <w:t>，在对被告人进行刑事惩戒的同时，做好财产查控工作，为追赃挽损打下良好基础；建立健全公检法三方会商机制，针对帮信案件的处理</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逮捕执行</w:t>
      </w:r>
      <w:r>
        <w:rPr>
          <w:rFonts w:hint="eastAsia" w:ascii="仿宋" w:hAnsi="仿宋" w:eastAsia="仿宋" w:cs="仿宋"/>
          <w:b w:val="0"/>
          <w:bCs/>
          <w:sz w:val="32"/>
          <w:szCs w:val="32"/>
          <w:lang w:eastAsia="zh-CN"/>
        </w:rPr>
        <w:t>难题</w:t>
      </w:r>
      <w:r>
        <w:rPr>
          <w:rFonts w:hint="eastAsia" w:ascii="仿宋" w:hAnsi="仿宋" w:eastAsia="仿宋" w:cs="仿宋"/>
          <w:b w:val="0"/>
          <w:bCs/>
          <w:sz w:val="32"/>
          <w:szCs w:val="32"/>
        </w:rPr>
        <w:t>、重大传销案件、网红寻衅滋事案件等召开联席会议8次，统一认识，提高审判质效；继续开展刑事辩护律师全覆盖工作，为29名刑事被告人提供法律援助，保障了被告人合法权益。</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b/>
          <w:sz w:val="32"/>
          <w:szCs w:val="32"/>
        </w:rPr>
      </w:pPr>
      <w:r>
        <w:rPr>
          <w:rFonts w:hint="eastAsia" w:ascii="仿宋" w:hAnsi="仿宋" w:eastAsia="仿宋" w:cs="仿宋"/>
          <w:b/>
          <w:bCs/>
          <w:sz w:val="32"/>
          <w:szCs w:val="32"/>
          <w:u w:val="none"/>
        </w:rPr>
        <w:t>精心处理民商事纠纷，推动区域社会和谐发展。</w:t>
      </w:r>
      <w:r>
        <w:rPr>
          <w:rFonts w:hint="eastAsia" w:ascii="仿宋" w:hAnsi="仿宋" w:eastAsia="仿宋" w:cs="仿宋"/>
          <w:b w:val="0"/>
          <w:bCs/>
          <w:sz w:val="32"/>
          <w:szCs w:val="32"/>
        </w:rPr>
        <w:t>共受理各类民商事案件2691件，结案2392件。在充分调研的基础上，改过去民商事审判非专业化为组建专业化审判团队，优化人员配置，同类案件集中办理，统一裁判尺度，提高审判质效；创新工作模式，以“示范性裁判”引领当事人的诉讼行为，经济下行形势下的净月区集团性纠纷量大且类型多，</w:t>
      </w:r>
      <w:r>
        <w:rPr>
          <w:rFonts w:hint="eastAsia" w:ascii="仿宋" w:hAnsi="仿宋" w:eastAsia="仿宋" w:cs="仿宋"/>
          <w:b w:val="0"/>
          <w:bCs/>
          <w:sz w:val="32"/>
          <w:szCs w:val="32"/>
          <w:lang w:eastAsia="zh-CN"/>
        </w:rPr>
        <w:t>首当其冲</w:t>
      </w:r>
      <w:r>
        <w:rPr>
          <w:rFonts w:hint="eastAsia" w:ascii="仿宋" w:hAnsi="仿宋" w:eastAsia="仿宋" w:cs="仿宋"/>
          <w:b w:val="0"/>
          <w:bCs/>
          <w:sz w:val="32"/>
          <w:szCs w:val="32"/>
        </w:rPr>
        <w:t>的要数商品房买卖合同纠纷，</w:t>
      </w:r>
      <w:r>
        <w:rPr>
          <w:rFonts w:hint="eastAsia" w:ascii="仿宋" w:hAnsi="仿宋" w:eastAsia="仿宋" w:cs="仿宋"/>
          <w:b w:val="0"/>
          <w:bCs/>
          <w:sz w:val="32"/>
          <w:szCs w:val="32"/>
          <w:lang w:eastAsia="zh-CN"/>
        </w:rPr>
        <w:t>辖区内一小区</w:t>
      </w:r>
      <w:r>
        <w:rPr>
          <w:rFonts w:hint="eastAsia" w:ascii="仿宋" w:hAnsi="仿宋" w:eastAsia="仿宋" w:cs="仿宋"/>
          <w:b w:val="0"/>
          <w:bCs/>
          <w:sz w:val="32"/>
          <w:szCs w:val="32"/>
        </w:rPr>
        <w:t>2000多户业主因开发商迟延交房诉请开发商支付违约金，选取具有代表性的1件案件（原告是律师）先行审理，同时做双方和解工作，庭审后原告撤诉，其他业主也就不再坚持起诉，就这样2000</w:t>
      </w:r>
      <w:r>
        <w:rPr>
          <w:rFonts w:hint="eastAsia" w:ascii="仿宋" w:hAnsi="仿宋" w:eastAsia="仿宋" w:cs="仿宋"/>
          <w:b w:val="0"/>
          <w:bCs/>
          <w:sz w:val="32"/>
          <w:szCs w:val="32"/>
          <w:lang w:eastAsia="zh-CN"/>
        </w:rPr>
        <w:t>起</w:t>
      </w:r>
      <w:r>
        <w:rPr>
          <w:rFonts w:hint="eastAsia" w:ascii="仿宋" w:hAnsi="仿宋" w:eastAsia="仿宋" w:cs="仿宋"/>
          <w:b w:val="0"/>
          <w:bCs/>
          <w:sz w:val="32"/>
          <w:szCs w:val="32"/>
        </w:rPr>
        <w:t>案件被消灭在诉前，不仅平息了矛盾，也达到了诉源治理的效果；妥善审结各类涉民生案件，发出</w:t>
      </w:r>
      <w:r>
        <w:rPr>
          <w:rFonts w:hint="eastAsia" w:ascii="仿宋" w:hAnsi="仿宋" w:eastAsia="仿宋" w:cs="仿宋"/>
          <w:b w:val="0"/>
          <w:bCs/>
          <w:sz w:val="32"/>
          <w:szCs w:val="32"/>
          <w:lang w:eastAsia="zh-CN"/>
        </w:rPr>
        <w:t>首份</w:t>
      </w:r>
      <w:r>
        <w:rPr>
          <w:rFonts w:hint="eastAsia" w:ascii="仿宋" w:hAnsi="仿宋" w:eastAsia="仿宋" w:cs="仿宋"/>
          <w:b w:val="0"/>
          <w:bCs/>
          <w:sz w:val="32"/>
          <w:szCs w:val="32"/>
        </w:rPr>
        <w:t>《夫妻共同财产申报令》，保护婚姻家庭案件中弱势一方当事人的合法权益，发出</w:t>
      </w:r>
      <w:r>
        <w:rPr>
          <w:rFonts w:hint="eastAsia" w:ascii="仿宋" w:hAnsi="仿宋" w:eastAsia="仿宋" w:cs="仿宋"/>
          <w:b w:val="0"/>
          <w:bCs/>
          <w:sz w:val="32"/>
          <w:szCs w:val="32"/>
          <w:lang w:eastAsia="zh-CN"/>
        </w:rPr>
        <w:t>首份</w:t>
      </w:r>
      <w:r>
        <w:rPr>
          <w:rFonts w:hint="eastAsia" w:ascii="仿宋" w:hAnsi="仿宋" w:eastAsia="仿宋" w:cs="仿宋"/>
          <w:b w:val="0"/>
          <w:bCs/>
          <w:sz w:val="32"/>
          <w:szCs w:val="32"/>
        </w:rPr>
        <w:t>《人身安全保护令》，促进家庭社会和谐稳定。</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b w:val="0"/>
          <w:bCs/>
          <w:sz w:val="32"/>
          <w:szCs w:val="32"/>
        </w:rPr>
      </w:pPr>
      <w:r>
        <w:rPr>
          <w:rFonts w:hint="eastAsia" w:ascii="仿宋" w:hAnsi="仿宋" w:eastAsia="仿宋" w:cs="仿宋"/>
          <w:b/>
          <w:bCs/>
          <w:sz w:val="32"/>
          <w:szCs w:val="32"/>
          <w:u w:val="none"/>
        </w:rPr>
        <w:t>助力法治政府建设，推进行政争议实质化解。</w:t>
      </w:r>
      <w:r>
        <w:rPr>
          <w:rFonts w:hint="eastAsia" w:ascii="仿宋" w:hAnsi="仿宋" w:eastAsia="仿宋" w:cs="仿宋"/>
          <w:b w:val="0"/>
          <w:bCs/>
          <w:sz w:val="32"/>
          <w:szCs w:val="32"/>
        </w:rPr>
        <w:t>共受理各类行政案件33件，结案25件，当事人全部服判，零上诉；诉前化解案件7件，已化解5件，化解率71.4%。扎实开展府院联动工作，召开了府院联动工作会议，明确了2023年府院联动工作要点；制作2022年行政审判白皮书，助力政府依法行政；充分开展行政争议协调化解工作，坚持全流程全方位化解</w:t>
      </w:r>
      <w:r>
        <w:rPr>
          <w:rFonts w:hint="eastAsia" w:ascii="仿宋" w:hAnsi="仿宋" w:eastAsia="仿宋" w:cs="仿宋"/>
          <w:b w:val="0"/>
          <w:bCs/>
          <w:color w:val="auto"/>
          <w:sz w:val="32"/>
          <w:szCs w:val="32"/>
        </w:rPr>
        <w:t>，诉前化解平台化解率达83%；</w:t>
      </w:r>
      <w:r>
        <w:rPr>
          <w:rFonts w:hint="eastAsia" w:ascii="仿宋" w:hAnsi="仿宋" w:eastAsia="仿宋" w:cs="仿宋"/>
          <w:b w:val="0"/>
          <w:bCs/>
          <w:sz w:val="32"/>
          <w:szCs w:val="32"/>
        </w:rPr>
        <w:t>邀请行政机关负责人及工作人员旁听庭审2次，以庭代训，提升其依法行政及应诉能力。</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ascii="仿宋" w:hAnsi="仿宋" w:eastAsia="仿宋" w:cs="仿宋"/>
          <w:b/>
          <w:sz w:val="32"/>
          <w:szCs w:val="32"/>
        </w:rPr>
      </w:pPr>
      <w:r>
        <w:rPr>
          <w:rFonts w:hint="eastAsia" w:ascii="仿宋" w:hAnsi="仿宋" w:eastAsia="仿宋" w:cs="仿宋"/>
          <w:b/>
          <w:bCs/>
          <w:sz w:val="32"/>
          <w:szCs w:val="32"/>
          <w:u w:val="none"/>
        </w:rPr>
        <w:t>持续加大执行力度，多措并举实现当事人胜诉权益。</w:t>
      </w:r>
      <w:r>
        <w:rPr>
          <w:rFonts w:hint="eastAsia" w:ascii="仿宋" w:hAnsi="仿宋" w:eastAsia="仿宋" w:cs="仿宋"/>
          <w:b w:val="0"/>
          <w:bCs/>
          <w:sz w:val="32"/>
          <w:szCs w:val="32"/>
        </w:rPr>
        <w:t>立首执案件498件，结案464件，全口径结案率94.04% ，执行完毕率52.61%，到位金额13616.33万元，实际执行到位率52.06%。执行局党支部坚持党建引领，制定了“净月执行党建实施方案”，聚焦为民宗旨开展工作，出台“执行安全十条”，从政治、廉洁、人身、保密、证件、交通、卷宗、信息、用章及办公室等十个方面排查、克服风险隐患；制定“执行110”应急预案，成立突发应急处置小组，处置非工作时间出现的各类突发事件；开展财产集中处置专项活动，成交金额8369.68万元；开展清理拖欠民营、中小企业账款执行专项行动，高效化解</w:t>
      </w:r>
      <w:r>
        <w:rPr>
          <w:rFonts w:hint="eastAsia" w:ascii="仿宋" w:hAnsi="仿宋" w:eastAsia="仿宋" w:cs="仿宋"/>
          <w:b w:val="0"/>
          <w:bCs/>
          <w:sz w:val="32"/>
          <w:szCs w:val="32"/>
          <w:lang w:eastAsia="zh-CN"/>
        </w:rPr>
        <w:t>某</w:t>
      </w:r>
      <w:r>
        <w:rPr>
          <w:rFonts w:hint="eastAsia" w:ascii="仿宋" w:hAnsi="仿宋" w:eastAsia="仿宋" w:cs="仿宋"/>
          <w:b w:val="0"/>
          <w:bCs/>
          <w:sz w:val="32"/>
          <w:szCs w:val="32"/>
        </w:rPr>
        <w:t>房地产系列纠纷、借贷纠纷等涉企案件，办案人采取线上审批和线下操作同时进行的方式，仅用2天即将90万元执行款发放到位；加大民生保障力度，妥善处理39起农民工欠薪案，执行到位130余万元，跑出为民执行新速度；突出执行行为的强制性，一起多年积案在被执行人被抓捕后得以执行完毕，成功开展大型强迁活动1次，直接促成多起“骨头案”执行完毕，彰显了司法权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firstLineChars="200"/>
        <w:jc w:val="left"/>
        <w:textAlignment w:val="auto"/>
        <w:rPr>
          <w:rFonts w:ascii="楷体" w:hAnsi="楷体" w:eastAsia="楷体" w:cs="楷体"/>
          <w:b w:val="0"/>
          <w:bCs w:val="0"/>
          <w:kern w:val="0"/>
          <w:sz w:val="32"/>
          <w:szCs w:val="32"/>
          <w:lang w:val="zh-CN"/>
        </w:rPr>
      </w:pPr>
      <w:r>
        <w:rPr>
          <w:rFonts w:hint="eastAsia" w:ascii="楷体" w:hAnsi="楷体" w:eastAsia="楷体" w:cs="楷体"/>
          <w:b w:val="0"/>
          <w:bCs w:val="0"/>
          <w:kern w:val="0"/>
          <w:sz w:val="32"/>
          <w:szCs w:val="32"/>
          <w:lang w:val="zh-CN"/>
        </w:rPr>
        <w:t>（二）围绕中心，全力服务保障社会发展大局</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sz w:val="32"/>
          <w:szCs w:val="32"/>
        </w:rPr>
      </w:pPr>
      <w:r>
        <w:rPr>
          <w:rFonts w:hint="eastAsia" w:ascii="仿宋" w:hAnsi="仿宋" w:eastAsia="仿宋" w:cs="仿宋"/>
          <w:b/>
          <w:bCs/>
          <w:sz w:val="32"/>
          <w:szCs w:val="32"/>
          <w:u w:val="none"/>
        </w:rPr>
        <w:t>持续强化法治化营商环境建设。</w:t>
      </w:r>
      <w:r>
        <w:rPr>
          <w:rFonts w:hint="eastAsia" w:ascii="仿宋" w:hAnsi="仿宋" w:eastAsia="仿宋" w:cs="仿宋"/>
          <w:b w:val="0"/>
          <w:bCs/>
          <w:sz w:val="32"/>
          <w:szCs w:val="32"/>
        </w:rPr>
        <w:t>出台《优化营商环境工作方案》和《优化营商环境十条措施》，强化涉企服务针对性，提升服务质效；院领导带头进企业开展调研，答疑解惑</w:t>
      </w:r>
      <w:r>
        <w:rPr>
          <w:rFonts w:hint="eastAsia" w:ascii="仿宋" w:hAnsi="仿宋" w:eastAsia="仿宋" w:cs="仿宋"/>
          <w:b w:val="0"/>
          <w:bCs/>
          <w:color w:val="000000" w:themeColor="text1"/>
          <w:sz w:val="32"/>
          <w:szCs w:val="32"/>
          <w14:textFill>
            <w14:solidFill>
              <w14:schemeClr w14:val="tx1"/>
            </w14:solidFill>
          </w14:textFill>
        </w:rPr>
        <w:t>；与区工商联开展共建活动，召开有工商联主席参加的企业代表座谈会，问需于企业，服务于企业；</w:t>
      </w:r>
      <w:r>
        <w:rPr>
          <w:rFonts w:hint="eastAsia" w:ascii="仿宋" w:hAnsi="仿宋" w:eastAsia="仿宋" w:cs="仿宋"/>
          <w:b w:val="0"/>
          <w:bCs/>
          <w:sz w:val="32"/>
          <w:szCs w:val="32"/>
        </w:rPr>
        <w:t>开通涉企案件绿色通道，方便涉企当事人快速办理各项诉讼事务；实行重点涉企案件由分管院领导督办、审委会研究制度，确保案件质效；对涉企案件慎用强制措施，把执行的影响降到最低，在</w:t>
      </w:r>
      <w:r>
        <w:rPr>
          <w:rFonts w:hint="eastAsia" w:ascii="仿宋" w:hAnsi="仿宋" w:eastAsia="仿宋" w:cs="仿宋"/>
          <w:b w:val="0"/>
          <w:bCs/>
          <w:sz w:val="32"/>
          <w:szCs w:val="32"/>
          <w:lang w:eastAsia="zh-CN"/>
        </w:rPr>
        <w:t>一</w:t>
      </w:r>
      <w:r>
        <w:rPr>
          <w:rFonts w:hint="eastAsia" w:ascii="仿宋" w:hAnsi="仿宋" w:eastAsia="仿宋" w:cs="仿宋"/>
          <w:b w:val="0"/>
          <w:bCs/>
          <w:sz w:val="32"/>
          <w:szCs w:val="32"/>
        </w:rPr>
        <w:t>信息技术股份有限公司买卖合同纠纷案件中，办案法官兼顾双方诉求，加大沟通力度，促成系列案件和解</w:t>
      </w:r>
      <w:r>
        <w:rPr>
          <w:rFonts w:hint="eastAsia" w:ascii="仿宋" w:hAnsi="仿宋" w:eastAsia="仿宋" w:cs="仿宋"/>
          <w:b w:val="0"/>
          <w:bCs/>
          <w:sz w:val="32"/>
          <w:szCs w:val="32"/>
          <w:lang w:eastAsia="zh-CN"/>
        </w:rPr>
        <w:t>，</w:t>
      </w:r>
      <w:r>
        <w:rPr>
          <w:rFonts w:hint="eastAsia" w:ascii="仿宋" w:hAnsi="仿宋" w:eastAsia="仿宋" w:cs="仿宋"/>
          <w:b w:val="0"/>
          <w:bCs/>
          <w:kern w:val="0"/>
          <w:sz w:val="32"/>
          <w:szCs w:val="32"/>
        </w:rPr>
        <w:t>有力保障净月区绿色产业发展。</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r>
        <w:rPr>
          <w:rFonts w:hint="eastAsia" w:ascii="仿宋" w:hAnsi="仿宋" w:eastAsia="仿宋" w:cs="仿宋"/>
          <w:b/>
          <w:bCs/>
          <w:sz w:val="32"/>
          <w:szCs w:val="32"/>
          <w:u w:val="none"/>
        </w:rPr>
        <w:t>全力推进平安净月建设。</w:t>
      </w:r>
      <w:r>
        <w:rPr>
          <w:rFonts w:hint="eastAsia" w:ascii="仿宋" w:hAnsi="仿宋" w:eastAsia="仿宋" w:cs="仿宋"/>
          <w:b w:val="0"/>
          <w:bCs w:val="0"/>
          <w:sz w:val="32"/>
          <w:szCs w:val="32"/>
        </w:rPr>
        <w:t>严厉打击刑事犯罪；全力做好信访维稳工作，党组把信访维稳工作作为一项重点工作来抓，树立全员抓信访意识，选派优秀人员负责此项工作，党组会专题研究相关问题，院领导亲自接待信访人，保持集体进京访、赴沈访、极端访零登记</w:t>
      </w:r>
      <w:r>
        <w:rPr>
          <w:rFonts w:hint="eastAsia" w:ascii="仿宋" w:hAnsi="仿宋" w:eastAsia="仿宋" w:cs="仿宋"/>
          <w:b w:val="0"/>
          <w:bCs/>
          <w:sz w:val="32"/>
          <w:szCs w:val="32"/>
        </w:rPr>
        <w:t>；规范信访案件管理，要求信访档案卷宗化，确保每一个信访案件的材料都是齐全的；作为区联动化解重大信访案件专班成员单位，积极参与管委会重大信访案件处理工作；畅通与区信访维稳办常态化沟通渠道，审、执过程中发现重大信访隐患人员，及时报备，配合稳控化解；信访攻坚案件已经完成了自评工作。</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bCs/>
          <w:sz w:val="32"/>
          <w:szCs w:val="32"/>
        </w:rPr>
      </w:pPr>
      <w:r>
        <w:rPr>
          <w:rFonts w:hint="eastAsia" w:ascii="仿宋" w:hAnsi="仿宋" w:eastAsia="仿宋" w:cs="仿宋"/>
          <w:b/>
          <w:bCs/>
          <w:sz w:val="32"/>
          <w:szCs w:val="32"/>
          <w:u w:val="none"/>
        </w:rPr>
        <w:t>多措并举化纠纷促和谐。</w:t>
      </w:r>
      <w:r>
        <w:rPr>
          <w:rFonts w:hint="eastAsia" w:ascii="仿宋" w:hAnsi="仿宋" w:eastAsia="仿宋" w:cs="仿宋"/>
          <w:b w:val="0"/>
          <w:bCs w:val="0"/>
          <w:sz w:val="32"/>
          <w:szCs w:val="32"/>
        </w:rPr>
        <w:t>全体干警下沉社区网格，及时发现、排除纠纷隐患；法官们担当起法治副校长的职责，宣传普及法律的同时也消除隐患于萌芽；加强与行政机关各部门、工商联、乡、镇、街、调解组织、律师协会、社会公益团体等联动，将网格员、人民调解员、律师、行业组织等纳入法院诉前调解队伍，形成人员联动、资源共享的格局；净月区矛调中心的人民调解中心在净月法院诉讼服务中心办</w:t>
      </w:r>
      <w:r>
        <w:rPr>
          <w:rFonts w:hint="eastAsia" w:ascii="仿宋" w:hAnsi="仿宋" w:eastAsia="仿宋" w:cs="仿宋"/>
          <w:b w:val="0"/>
          <w:bCs w:val="0"/>
          <w:color w:val="auto"/>
          <w:sz w:val="32"/>
          <w:szCs w:val="32"/>
        </w:rPr>
        <w:t>公，由净月法院帮助管理，员额法官在业务上给予指导，实现了人民调解与诉前调解的结合，共有</w:t>
      </w:r>
      <w:r>
        <w:rPr>
          <w:rFonts w:hint="eastAsia" w:ascii="仿宋" w:hAnsi="仿宋" w:eastAsia="仿宋" w:cs="仿宋"/>
          <w:b w:val="0"/>
          <w:bCs w:val="0"/>
          <w:color w:val="auto"/>
          <w:sz w:val="32"/>
          <w:szCs w:val="32"/>
          <w:lang w:val="en-US" w:eastAsia="zh-CN"/>
        </w:rPr>
        <w:t>2211</w:t>
      </w:r>
      <w:r>
        <w:rPr>
          <w:rFonts w:hint="eastAsia" w:ascii="仿宋" w:hAnsi="仿宋" w:eastAsia="仿宋" w:cs="仿宋"/>
          <w:b w:val="0"/>
          <w:bCs w:val="0"/>
          <w:color w:val="auto"/>
          <w:sz w:val="32"/>
          <w:szCs w:val="32"/>
        </w:rPr>
        <w:t>件民商事案件导入诉前调解程序，调解结案2</w:t>
      </w:r>
      <w:r>
        <w:rPr>
          <w:rFonts w:ascii="仿宋" w:hAnsi="仿宋" w:eastAsia="仿宋" w:cs="仿宋"/>
          <w:b w:val="0"/>
          <w:bCs w:val="0"/>
          <w:color w:val="auto"/>
          <w:sz w:val="32"/>
          <w:szCs w:val="32"/>
        </w:rPr>
        <w:t>037</w:t>
      </w:r>
      <w:r>
        <w:rPr>
          <w:rFonts w:hint="eastAsia" w:ascii="仿宋" w:hAnsi="仿宋" w:eastAsia="仿宋" w:cs="仿宋"/>
          <w:b w:val="0"/>
          <w:bCs w:val="0"/>
          <w:color w:val="auto"/>
          <w:sz w:val="32"/>
          <w:szCs w:val="32"/>
        </w:rPr>
        <w:t>件，调解成功1</w:t>
      </w:r>
      <w:r>
        <w:rPr>
          <w:rFonts w:ascii="仿宋" w:hAnsi="仿宋" w:eastAsia="仿宋" w:cs="仿宋"/>
          <w:b w:val="0"/>
          <w:bCs w:val="0"/>
          <w:color w:val="auto"/>
          <w:sz w:val="32"/>
          <w:szCs w:val="32"/>
        </w:rPr>
        <w:t>755</w:t>
      </w:r>
      <w:r>
        <w:rPr>
          <w:rFonts w:hint="eastAsia" w:ascii="仿宋" w:hAnsi="仿宋" w:eastAsia="仿宋" w:cs="仿宋"/>
          <w:b w:val="0"/>
          <w:bCs w:val="0"/>
          <w:color w:val="auto"/>
          <w:sz w:val="32"/>
          <w:szCs w:val="32"/>
        </w:rPr>
        <w:t>件，成功率</w:t>
      </w:r>
      <w:r>
        <w:rPr>
          <w:rFonts w:ascii="仿宋" w:hAnsi="仿宋" w:eastAsia="仿宋" w:cs="仿宋"/>
          <w:b w:val="0"/>
          <w:bCs w:val="0"/>
          <w:color w:val="auto"/>
          <w:sz w:val="32"/>
          <w:szCs w:val="32"/>
        </w:rPr>
        <w:t>85.61</w:t>
      </w:r>
      <w:r>
        <w:rPr>
          <w:rFonts w:hint="eastAsia" w:ascii="仿宋" w:hAnsi="仿宋" w:eastAsia="仿宋" w:cs="仿宋"/>
          <w:b w:val="0"/>
          <w:bCs w:val="0"/>
          <w:color w:val="auto"/>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楷体" w:hAnsi="楷体" w:eastAsia="楷体" w:cs="楷体"/>
          <w:b w:val="0"/>
          <w:bCs/>
          <w:sz w:val="32"/>
          <w:szCs w:val="32"/>
        </w:rPr>
      </w:pPr>
      <w:r>
        <w:rPr>
          <w:rFonts w:hint="eastAsia" w:ascii="楷体" w:hAnsi="楷体" w:eastAsia="楷体" w:cs="楷体"/>
          <w:b w:val="0"/>
          <w:bCs/>
          <w:sz w:val="32"/>
          <w:szCs w:val="32"/>
        </w:rPr>
        <w:t>（三）司法为民，努力满足人民群众司法需求</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sz w:val="32"/>
          <w:szCs w:val="32"/>
        </w:rPr>
      </w:pPr>
      <w:r>
        <w:rPr>
          <w:rFonts w:hint="eastAsia" w:ascii="仿宋" w:hAnsi="仿宋" w:eastAsia="仿宋" w:cs="仿宋"/>
          <w:b/>
          <w:bCs/>
          <w:sz w:val="32"/>
          <w:szCs w:val="32"/>
          <w:u w:val="none"/>
        </w:rPr>
        <w:t>全面提升诉讼服务质效。</w:t>
      </w:r>
      <w:r>
        <w:rPr>
          <w:rFonts w:hint="eastAsia" w:ascii="仿宋" w:hAnsi="仿宋" w:eastAsia="仿宋" w:cs="仿宋"/>
          <w:b w:val="0"/>
          <w:bCs/>
          <w:sz w:val="32"/>
          <w:szCs w:val="32"/>
        </w:rPr>
        <w:t>落实“一站式”诉讼服务要求，提升诉讼服务科技化信息化水平；为涉军、企等特殊群体开辟“绿色通道”，325件案件通过绿色通道快速办理；设立“办不成事窗口”、“法律咨询服务窗口”，安排专人接听诉讼服务热线5142次；严格落实“立案登记制”，推进跨域立案诉讼服务，办理网上立案2015件，电子送达6339次，实现了“数据多跑路、群众少跑腿”。</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sz w:val="32"/>
          <w:szCs w:val="32"/>
        </w:rPr>
      </w:pPr>
      <w:r>
        <w:rPr>
          <w:rFonts w:hint="eastAsia" w:ascii="仿宋" w:hAnsi="仿宋" w:eastAsia="仿宋" w:cs="仿宋"/>
          <w:b/>
          <w:bCs/>
          <w:sz w:val="32"/>
          <w:szCs w:val="32"/>
          <w:u w:val="none"/>
        </w:rPr>
        <w:t>持续加强司法作风建设。</w:t>
      </w:r>
      <w:r>
        <w:rPr>
          <w:rFonts w:hint="eastAsia" w:ascii="仿宋" w:hAnsi="仿宋" w:eastAsia="仿宋" w:cs="仿宋"/>
          <w:b w:val="0"/>
          <w:bCs/>
          <w:sz w:val="32"/>
          <w:szCs w:val="32"/>
        </w:rPr>
        <w:t>开展“司法良知培育”专项行动，细化任务分解，压紧压实责任，大力培育和弘扬司法良知，努力解决人民群众打官司中的急难愁盼问题；常态化开展诉讼服务司法作风问题集中整治行动，重点查处和整治诉讼服务质量不高、业务能力不足、不会做群众工作等低质效问题和“冷、硬、横、推”、“庸、懒、散、奢”等不良司法作风问题，大力培树“严、新、细、实”优良新风；加大判后答疑和释法明理工作，更好履行职能作用，切实提高司法公信力；审务督查人员常态化、不定期、不规律地进行作风检查，发现问题及时通报，做到司法作风警钟长鸣。</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sz w:val="32"/>
          <w:szCs w:val="32"/>
        </w:rPr>
      </w:pPr>
      <w:r>
        <w:rPr>
          <w:rFonts w:hint="eastAsia" w:ascii="仿宋" w:hAnsi="仿宋" w:eastAsia="仿宋" w:cs="仿宋"/>
          <w:b/>
          <w:bCs/>
          <w:sz w:val="32"/>
          <w:szCs w:val="32"/>
          <w:u w:val="none"/>
          <w:lang w:val="zh-CN"/>
        </w:rPr>
        <w:t>立足审判职能普法惠民。</w:t>
      </w:r>
      <w:r>
        <w:rPr>
          <w:rFonts w:hint="eastAsia" w:ascii="仿宋" w:hAnsi="仿宋" w:eastAsia="仿宋" w:cs="仿宋"/>
          <w:b w:val="0"/>
          <w:bCs/>
          <w:sz w:val="32"/>
          <w:szCs w:val="32"/>
          <w:lang w:val="zh-CN"/>
        </w:rPr>
        <w:t>落实“谁执法谁普法”责任制，</w:t>
      </w:r>
      <w:r>
        <w:rPr>
          <w:rFonts w:hint="eastAsia" w:ascii="仿宋" w:hAnsi="仿宋" w:eastAsia="仿宋" w:cs="仿宋"/>
          <w:b w:val="0"/>
          <w:bCs/>
          <w:sz w:val="32"/>
          <w:szCs w:val="32"/>
        </w:rPr>
        <w:t>开展“普法七走进”活动</w:t>
      </w:r>
      <w:r>
        <w:rPr>
          <w:rFonts w:hint="eastAsia" w:ascii="仿宋" w:hAnsi="仿宋" w:eastAsia="仿宋" w:cs="仿宋"/>
          <w:b w:val="0"/>
          <w:bCs/>
          <w:sz w:val="32"/>
          <w:szCs w:val="32"/>
          <w:lang w:val="en-US" w:eastAsia="zh-CN"/>
        </w:rPr>
        <w:t>42</w:t>
      </w:r>
      <w:r>
        <w:rPr>
          <w:rFonts w:hint="eastAsia" w:ascii="仿宋" w:hAnsi="仿宋" w:eastAsia="仿宋" w:cs="仿宋"/>
          <w:b w:val="0"/>
          <w:bCs/>
          <w:sz w:val="32"/>
          <w:szCs w:val="32"/>
        </w:rPr>
        <w:t>次，选派26名法官干警担任辖区中小学“法治副校长”，以普法讲座、模拟庭审等方式进行法治教育；开展“反有组织犯罪法”、“妇女权益保护”、“民法典宣传”、“六五环境日”等系列普法活动，</w:t>
      </w:r>
      <w:r>
        <w:rPr>
          <w:rFonts w:hint="eastAsia" w:ascii="仿宋" w:hAnsi="仿宋" w:eastAsia="仿宋"/>
          <w:b w:val="0"/>
          <w:bCs/>
          <w:sz w:val="32"/>
          <w:szCs w:val="32"/>
        </w:rPr>
        <w:t>累计发放宣传材料2000份，</w:t>
      </w:r>
      <w:r>
        <w:rPr>
          <w:rFonts w:hint="eastAsia" w:ascii="仿宋" w:hAnsi="仿宋" w:eastAsia="仿宋" w:cs="仿宋"/>
          <w:b w:val="0"/>
          <w:bCs/>
          <w:sz w:val="32"/>
          <w:szCs w:val="32"/>
        </w:rPr>
        <w:t>受教育人数1000余人；挂牌“区妇联执委工作室”，保护妇女儿童合法权益；通过“三微一端”、新闻媒介发布典型案例，提高公众法治意识，提升基层社会治理法治化水平</w:t>
      </w:r>
      <w:r>
        <w:rPr>
          <w:rFonts w:hint="eastAsia" w:ascii="仿宋" w:hAnsi="仿宋" w:eastAsia="仿宋" w:cs="仿宋"/>
          <w:b w:val="0"/>
          <w:bCs/>
          <w:color w:val="auto"/>
          <w:sz w:val="32"/>
          <w:szCs w:val="32"/>
        </w:rPr>
        <w:t>。其中2篇</w:t>
      </w:r>
      <w:r>
        <w:rPr>
          <w:rFonts w:hint="eastAsia" w:ascii="仿宋" w:hAnsi="仿宋" w:eastAsia="仿宋" w:cs="仿宋"/>
          <w:b w:val="0"/>
          <w:bCs/>
          <w:color w:val="auto"/>
          <w:sz w:val="32"/>
          <w:szCs w:val="32"/>
          <w:lang w:eastAsia="zh-CN"/>
        </w:rPr>
        <w:t>新闻信息</w:t>
      </w:r>
      <w:r>
        <w:rPr>
          <w:rFonts w:hint="eastAsia" w:ascii="仿宋" w:hAnsi="仿宋" w:eastAsia="仿宋" w:cs="仿宋"/>
          <w:b w:val="0"/>
          <w:bCs/>
          <w:color w:val="auto"/>
          <w:sz w:val="32"/>
          <w:szCs w:val="32"/>
          <w:lang w:val="zh-CN"/>
        </w:rPr>
        <w:t>被《人民法院报》采纳，</w:t>
      </w:r>
      <w:r>
        <w:rPr>
          <w:rFonts w:hint="eastAsia" w:ascii="仿宋" w:hAnsi="仿宋" w:eastAsia="仿宋" w:cs="仿宋"/>
          <w:b w:val="0"/>
          <w:bCs/>
          <w:color w:val="auto"/>
          <w:sz w:val="32"/>
          <w:szCs w:val="32"/>
          <w:lang w:val="en-US" w:eastAsia="zh-CN"/>
        </w:rPr>
        <w:t>6起典型案例被吉林电视台采访报道，8</w:t>
      </w:r>
      <w:r>
        <w:rPr>
          <w:rFonts w:hint="eastAsia" w:ascii="仿宋" w:hAnsi="仿宋" w:eastAsia="仿宋" w:cs="仿宋"/>
          <w:b w:val="0"/>
          <w:bCs/>
          <w:color w:val="auto"/>
          <w:sz w:val="32"/>
          <w:szCs w:val="32"/>
        </w:rPr>
        <w:t>篇</w:t>
      </w:r>
      <w:r>
        <w:rPr>
          <w:rFonts w:hint="eastAsia" w:ascii="仿宋" w:hAnsi="仿宋" w:eastAsia="仿宋" w:cs="仿宋"/>
          <w:b w:val="0"/>
          <w:bCs/>
          <w:color w:val="auto"/>
          <w:sz w:val="32"/>
          <w:szCs w:val="32"/>
          <w:lang w:eastAsia="zh-CN"/>
        </w:rPr>
        <w:t>新闻信息</w:t>
      </w:r>
      <w:r>
        <w:rPr>
          <w:rFonts w:hint="eastAsia" w:ascii="仿宋" w:hAnsi="仿宋" w:eastAsia="仿宋" w:cs="仿宋"/>
          <w:b w:val="0"/>
          <w:bCs/>
          <w:color w:val="auto"/>
          <w:sz w:val="32"/>
          <w:szCs w:val="32"/>
        </w:rPr>
        <w:t>被省法院微信公众号采纳，多篇被人民网</w:t>
      </w:r>
      <w:r>
        <w:rPr>
          <w:rFonts w:hint="eastAsia" w:ascii="仿宋" w:hAnsi="仿宋" w:eastAsia="仿宋" w:cs="仿宋"/>
          <w:b w:val="0"/>
          <w:bCs/>
          <w:color w:val="auto"/>
          <w:sz w:val="32"/>
          <w:szCs w:val="32"/>
          <w:lang w:eastAsia="zh-CN"/>
        </w:rPr>
        <w:t>主流媒体</w:t>
      </w:r>
      <w:r>
        <w:rPr>
          <w:rFonts w:hint="eastAsia" w:ascii="仿宋" w:hAnsi="仿宋" w:eastAsia="仿宋" w:cs="仿宋"/>
          <w:b w:val="0"/>
          <w:bCs/>
          <w:color w:val="auto"/>
          <w:sz w:val="32"/>
          <w:szCs w:val="32"/>
        </w:rPr>
        <w:t>转发，</w:t>
      </w:r>
      <w:r>
        <w:rPr>
          <w:rFonts w:hint="eastAsia" w:ascii="仿宋" w:hAnsi="仿宋" w:eastAsia="仿宋" w:cs="仿宋"/>
          <w:b w:val="0"/>
          <w:bCs/>
          <w:color w:val="auto"/>
          <w:sz w:val="32"/>
          <w:szCs w:val="32"/>
          <w:lang w:eastAsia="zh-CN"/>
        </w:rPr>
        <w:t>“闺蜜盗窃案”</w:t>
      </w:r>
      <w:r>
        <w:rPr>
          <w:rFonts w:hint="eastAsia" w:ascii="仿宋" w:hAnsi="仿宋" w:eastAsia="仿宋" w:cs="仿宋"/>
          <w:b w:val="0"/>
          <w:bCs/>
          <w:color w:val="auto"/>
          <w:sz w:val="32"/>
          <w:szCs w:val="32"/>
        </w:rPr>
        <w:t>被新浪微博采纳</w:t>
      </w:r>
      <w:r>
        <w:rPr>
          <w:rFonts w:hint="eastAsia" w:ascii="仿宋" w:hAnsi="仿宋" w:eastAsia="仿宋" w:cs="仿宋"/>
          <w:b w:val="0"/>
          <w:bCs/>
          <w:color w:val="auto"/>
          <w:sz w:val="32"/>
          <w:szCs w:val="32"/>
          <w:lang w:eastAsia="zh-CN"/>
        </w:rPr>
        <w:t>登上</w:t>
      </w:r>
      <w:r>
        <w:rPr>
          <w:rFonts w:hint="eastAsia" w:ascii="仿宋" w:hAnsi="仿宋" w:eastAsia="仿宋" w:cs="仿宋"/>
          <w:b w:val="0"/>
          <w:bCs/>
          <w:color w:val="auto"/>
          <w:sz w:val="32"/>
          <w:szCs w:val="32"/>
        </w:rPr>
        <w:t>热搜</w:t>
      </w:r>
      <w:r>
        <w:rPr>
          <w:rFonts w:hint="eastAsia" w:ascii="仿宋" w:hAnsi="仿宋" w:eastAsia="仿宋" w:cs="仿宋"/>
          <w:b w:val="0"/>
          <w:bCs/>
          <w:color w:val="auto"/>
          <w:sz w:val="32"/>
          <w:szCs w:val="32"/>
          <w:lang w:eastAsia="zh-CN"/>
        </w:rPr>
        <w:t>引起广泛讨论</w:t>
      </w:r>
      <w:r>
        <w:rPr>
          <w:rFonts w:hint="eastAsia" w:ascii="仿宋" w:hAnsi="仿宋" w:eastAsia="仿宋" w:cs="仿宋"/>
          <w:b w:val="0"/>
          <w:bCs/>
          <w:color w:val="auto"/>
          <w:sz w:val="32"/>
          <w:szCs w:val="32"/>
        </w:rPr>
        <w:t>。</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楷体" w:hAnsi="楷体" w:eastAsia="楷体" w:cs="楷体"/>
          <w:b w:val="0"/>
          <w:bCs/>
          <w:sz w:val="32"/>
          <w:szCs w:val="32"/>
          <w:lang w:val="zh-CN"/>
        </w:rPr>
      </w:pPr>
      <w:r>
        <w:rPr>
          <w:rFonts w:hint="eastAsia" w:ascii="楷体" w:hAnsi="楷体" w:eastAsia="楷体" w:cs="楷体"/>
          <w:b w:val="0"/>
          <w:bCs/>
          <w:sz w:val="32"/>
          <w:szCs w:val="32"/>
          <w:lang w:val="zh-CN"/>
        </w:rPr>
        <w:t>（四）开展调查研究，建立科学有效的审执管理模式</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r>
        <w:rPr>
          <w:rFonts w:hint="eastAsia" w:ascii="仿宋" w:hAnsi="仿宋" w:eastAsia="仿宋" w:cs="仿宋"/>
          <w:b/>
          <w:bCs/>
          <w:sz w:val="32"/>
          <w:szCs w:val="32"/>
          <w:u w:val="none"/>
          <w:lang w:val="zh-CN"/>
        </w:rPr>
        <w:t>充分发挥审判管理职能。</w:t>
      </w:r>
      <w:r>
        <w:rPr>
          <w:rFonts w:hint="eastAsia" w:ascii="仿宋" w:hAnsi="仿宋" w:eastAsia="仿宋" w:cs="仿宋"/>
          <w:b w:val="0"/>
          <w:bCs/>
          <w:sz w:val="32"/>
          <w:szCs w:val="32"/>
        </w:rPr>
        <w:t>坚持调研先行，月初制定计划、任务指标到人，随时进行调度、跟踪督导问效，月末汇总分析、系统总结；</w:t>
      </w:r>
      <w:r>
        <w:rPr>
          <w:rFonts w:hint="eastAsia" w:ascii="仿宋" w:hAnsi="仿宋" w:eastAsia="仿宋" w:cs="仿宋"/>
          <w:b w:val="0"/>
          <w:bCs/>
          <w:sz w:val="32"/>
          <w:szCs w:val="32"/>
          <w:lang w:val="zh-CN"/>
        </w:rPr>
        <w:t>定期召开审判委员会议、专业法官会议，法官研讨案件常态化；</w:t>
      </w:r>
      <w:r>
        <w:rPr>
          <w:rFonts w:hint="eastAsia" w:ascii="仿宋" w:hAnsi="仿宋" w:eastAsia="仿宋" w:cs="仿宋"/>
          <w:b w:val="0"/>
          <w:bCs/>
          <w:sz w:val="32"/>
          <w:szCs w:val="32"/>
        </w:rPr>
        <w:t>院领导带头评查发改案件，稳固提升审判质效；严格审限管理，变更审限的审批权限上提至分管院长；强化院庭长对“四类案件”的监管；实行案件归档预警通报制度，没有发现不归档案件；开展旧存案件清理活动。</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sz w:val="32"/>
          <w:szCs w:val="32"/>
          <w:u w:val="none"/>
        </w:rPr>
        <w:t>实行繁简分流提升质效</w:t>
      </w:r>
      <w:r>
        <w:rPr>
          <w:rFonts w:hint="eastAsia" w:ascii="仿宋" w:hAnsi="仿宋" w:eastAsia="仿宋" w:cs="仿宋"/>
          <w:b/>
          <w:sz w:val="32"/>
          <w:szCs w:val="32"/>
        </w:rPr>
        <w:t>。</w:t>
      </w:r>
      <w:r>
        <w:rPr>
          <w:rFonts w:hint="eastAsia" w:ascii="仿宋" w:hAnsi="仿宋" w:eastAsia="仿宋" w:cs="仿宋"/>
          <w:b w:val="0"/>
          <w:bCs/>
          <w:sz w:val="32"/>
          <w:szCs w:val="32"/>
        </w:rPr>
        <w:t>组建3人</w:t>
      </w:r>
      <w:r>
        <w:rPr>
          <w:rFonts w:hint="eastAsia" w:ascii="仿宋" w:hAnsi="仿宋" w:eastAsia="仿宋" w:cs="仿宋"/>
          <w:b w:val="0"/>
          <w:bCs/>
          <w:color w:val="000000" w:themeColor="text1"/>
          <w:sz w:val="32"/>
          <w:szCs w:val="32"/>
          <w14:textFill>
            <w14:solidFill>
              <w14:schemeClr w14:val="tx1"/>
            </w14:solidFill>
          </w14:textFill>
        </w:rPr>
        <w:t>速裁团队专司民商事案件速裁工作，审结案件占民商事案件</w:t>
      </w:r>
      <w:r>
        <w:rPr>
          <w:rFonts w:hint="eastAsia" w:ascii="仿宋" w:hAnsi="仿宋" w:eastAsia="仿宋" w:cs="仿宋"/>
          <w:b w:val="0"/>
          <w:bCs/>
          <w:color w:val="auto"/>
          <w:sz w:val="32"/>
          <w:szCs w:val="32"/>
        </w:rPr>
        <w:t>的</w:t>
      </w:r>
      <w:r>
        <w:rPr>
          <w:rFonts w:hint="eastAsia" w:ascii="仿宋" w:hAnsi="仿宋" w:eastAsia="仿宋" w:cs="仿宋"/>
          <w:b w:val="0"/>
          <w:bCs/>
          <w:color w:val="auto"/>
          <w:sz w:val="32"/>
          <w:szCs w:val="32"/>
          <w:lang w:val="en-US" w:eastAsia="zh-CN"/>
        </w:rPr>
        <w:t>35</w:t>
      </w:r>
      <w:r>
        <w:rPr>
          <w:rFonts w:hint="eastAsia" w:ascii="仿宋" w:hAnsi="仿宋" w:eastAsia="仿宋" w:cs="仿宋"/>
          <w:b w:val="0"/>
          <w:bCs/>
          <w:color w:val="auto"/>
          <w:sz w:val="32"/>
          <w:szCs w:val="32"/>
        </w:rPr>
        <w:t>%，</w:t>
      </w:r>
      <w:r>
        <w:rPr>
          <w:rFonts w:hint="eastAsia" w:ascii="仿宋" w:hAnsi="仿宋" w:eastAsia="仿宋" w:cs="仿宋"/>
          <w:b w:val="0"/>
          <w:bCs/>
          <w:color w:val="000000"/>
          <w:sz w:val="32"/>
          <w:szCs w:val="32"/>
        </w:rPr>
        <w:t>结案率93.31%</w:t>
      </w:r>
      <w:r>
        <w:rPr>
          <w:rFonts w:hint="eastAsia" w:ascii="仿宋" w:hAnsi="仿宋" w:eastAsia="仿宋" w:cs="仿宋"/>
          <w:b w:val="0"/>
          <w:bCs/>
          <w:color w:val="000000" w:themeColor="text1"/>
          <w:sz w:val="32"/>
          <w:szCs w:val="32"/>
          <w14:textFill>
            <w14:solidFill>
              <w14:schemeClr w14:val="tx1"/>
            </w14:solidFill>
          </w14:textFill>
        </w:rPr>
        <w:t>；</w:t>
      </w:r>
      <w:r>
        <w:rPr>
          <w:rFonts w:hint="eastAsia" w:ascii="仿宋" w:hAnsi="仿宋" w:eastAsia="仿宋" w:cs="仿宋"/>
          <w:b w:val="0"/>
          <w:bCs/>
          <w:sz w:val="32"/>
          <w:szCs w:val="32"/>
        </w:rPr>
        <w:t>对事实清楚、权利义务关系明确、争议不大的案件，采用要素式、令状式裁判文书，提高效率；发挥小额诉讼程序一审终审的优势，提升小额诉讼程序使用率，上半年，小额诉讼程序使用率</w:t>
      </w:r>
      <w:r>
        <w:rPr>
          <w:rFonts w:hint="eastAsia" w:ascii="仿宋" w:hAnsi="仿宋" w:eastAsia="仿宋" w:cs="仿宋"/>
          <w:b w:val="0"/>
          <w:bCs/>
          <w:sz w:val="32"/>
          <w:szCs w:val="32"/>
          <w:highlight w:val="none"/>
        </w:rPr>
        <w:t>为</w:t>
      </w:r>
      <w:r>
        <w:rPr>
          <w:rFonts w:hint="eastAsia" w:ascii="仿宋" w:hAnsi="仿宋" w:eastAsia="仿宋" w:cs="仿宋"/>
          <w:b w:val="0"/>
          <w:bCs/>
          <w:color w:val="auto"/>
          <w:sz w:val="32"/>
          <w:szCs w:val="32"/>
          <w:highlight w:val="none"/>
          <w:lang w:val="en-US" w:eastAsia="zh-CN"/>
        </w:rPr>
        <w:t>62.24</w:t>
      </w:r>
      <w:r>
        <w:rPr>
          <w:rFonts w:hint="eastAsia" w:ascii="仿宋" w:hAnsi="仿宋" w:eastAsia="仿宋" w:cs="仿宋"/>
          <w:b w:val="0"/>
          <w:bCs/>
          <w:sz w:val="32"/>
          <w:szCs w:val="32"/>
          <w:highlight w:val="none"/>
        </w:rPr>
        <w:t>%；</w:t>
      </w:r>
      <w:r>
        <w:rPr>
          <w:rFonts w:hint="eastAsia" w:ascii="仿宋" w:hAnsi="仿宋" w:eastAsia="仿宋" w:cs="仿宋"/>
          <w:b w:val="0"/>
          <w:bCs/>
          <w:sz w:val="32"/>
          <w:szCs w:val="32"/>
        </w:rPr>
        <w:t>执行及行政审判也在不断实践繁案精审（执），简案快审（执）模式。</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bCs/>
          <w:sz w:val="32"/>
          <w:szCs w:val="32"/>
          <w:lang w:val="zh-CN"/>
        </w:rPr>
      </w:pPr>
      <w:r>
        <w:rPr>
          <w:rFonts w:hint="eastAsia" w:ascii="仿宋" w:hAnsi="仿宋" w:eastAsia="仿宋" w:cs="仿宋"/>
          <w:b/>
          <w:bCs/>
          <w:sz w:val="32"/>
          <w:szCs w:val="32"/>
          <w:u w:val="none"/>
          <w:lang w:val="zh-CN"/>
        </w:rPr>
        <w:t>府院联动</w:t>
      </w:r>
      <w:r>
        <w:rPr>
          <w:rFonts w:hint="eastAsia" w:ascii="仿宋" w:hAnsi="仿宋" w:eastAsia="仿宋" w:cs="仿宋"/>
          <w:b/>
          <w:sz w:val="32"/>
          <w:szCs w:val="32"/>
          <w:u w:val="none"/>
          <w:lang w:val="zh-CN"/>
        </w:rPr>
        <w:t>化解物业纠纷。</w:t>
      </w:r>
      <w:r>
        <w:rPr>
          <w:rFonts w:hint="eastAsia" w:ascii="仿宋" w:hAnsi="仿宋" w:eastAsia="仿宋" w:cs="仿宋"/>
          <w:b w:val="0"/>
          <w:bCs w:val="0"/>
          <w:sz w:val="32"/>
          <w:szCs w:val="32"/>
          <w:lang w:val="zh-CN"/>
        </w:rPr>
        <w:t>基于物业服务纠纷数量逐年攀升的背景，开展专题调研活动，分析纠纷产生的原因，总结案件审理中存在的主要问题及经验做法，寻求化解思路；</w:t>
      </w:r>
      <w:r>
        <w:rPr>
          <w:rFonts w:hint="eastAsia" w:ascii="仿宋" w:hAnsi="仿宋" w:eastAsia="仿宋" w:cs="仿宋"/>
          <w:b w:val="0"/>
          <w:bCs w:val="0"/>
          <w:color w:val="000000"/>
          <w:sz w:val="32"/>
          <w:szCs w:val="32"/>
        </w:rPr>
        <w:t>搭建业主与物业公司之间矛盾化解桥梁，将多元化解作为首选方式，</w:t>
      </w:r>
      <w:r>
        <w:rPr>
          <w:rFonts w:hint="eastAsia" w:ascii="仿宋" w:hAnsi="仿宋" w:eastAsia="仿宋" w:cs="仿宋"/>
          <w:b w:val="0"/>
          <w:bCs w:val="0"/>
          <w:sz w:val="32"/>
          <w:szCs w:val="32"/>
          <w:lang w:val="zh-CN"/>
        </w:rPr>
        <w:t>上半年诉前调解成功率达67%；商</w:t>
      </w:r>
      <w:r>
        <w:rPr>
          <w:rFonts w:hint="eastAsia" w:ascii="仿宋" w:hAnsi="仿宋" w:eastAsia="仿宋" w:cs="仿宋"/>
          <w:b w:val="0"/>
          <w:bCs w:val="0"/>
          <w:color w:val="auto"/>
          <w:sz w:val="32"/>
          <w:szCs w:val="32"/>
          <w:lang w:val="zh-CN"/>
        </w:rPr>
        <w:t>请区住房保障局</w:t>
      </w:r>
      <w:r>
        <w:rPr>
          <w:rFonts w:hint="eastAsia" w:ascii="仿宋" w:hAnsi="仿宋" w:eastAsia="仿宋" w:cs="仿宋"/>
          <w:b w:val="0"/>
          <w:bCs w:val="0"/>
          <w:sz w:val="32"/>
          <w:szCs w:val="32"/>
          <w:lang w:val="zh-CN"/>
        </w:rPr>
        <w:t>共同召开“多元化解物业纠纷”专题座谈会，整合主管部门、街道、物业公司各方力量，建立</w:t>
      </w:r>
      <w:bookmarkStart w:id="0" w:name="_Hlk139575853"/>
      <w:r>
        <w:rPr>
          <w:rFonts w:hint="eastAsia" w:ascii="仿宋" w:hAnsi="仿宋" w:eastAsia="仿宋" w:cs="仿宋"/>
          <w:b w:val="0"/>
          <w:bCs w:val="0"/>
          <w:sz w:val="32"/>
          <w:szCs w:val="32"/>
          <w:lang w:val="zh-CN"/>
        </w:rPr>
        <w:t>物业纠纷诉调对接联动化解机制，</w:t>
      </w:r>
      <w:bookmarkEnd w:id="0"/>
      <w:r>
        <w:rPr>
          <w:rFonts w:hint="eastAsia" w:ascii="仿宋" w:hAnsi="仿宋" w:eastAsia="仿宋" w:cs="仿宋"/>
          <w:b w:val="0"/>
          <w:bCs w:val="0"/>
          <w:sz w:val="32"/>
          <w:szCs w:val="32"/>
          <w:lang w:val="zh-CN"/>
        </w:rPr>
        <w:t>不仅妥善解决各类物业纠纷，还达到了诉源治理的目的，初步统计，</w:t>
      </w:r>
      <w:r>
        <w:rPr>
          <w:rFonts w:hint="eastAsia" w:ascii="仿宋" w:hAnsi="仿宋" w:eastAsia="仿宋" w:cs="仿宋"/>
          <w:b w:val="0"/>
          <w:bCs w:val="0"/>
          <w:sz w:val="32"/>
          <w:szCs w:val="32"/>
          <w:highlight w:val="none"/>
          <w:lang w:val="zh-CN"/>
        </w:rPr>
        <w:t>有</w:t>
      </w:r>
      <w:r>
        <w:rPr>
          <w:rFonts w:hint="eastAsia" w:ascii="仿宋" w:hAnsi="仿宋" w:eastAsia="仿宋" w:cs="仿宋"/>
          <w:b w:val="0"/>
          <w:bCs w:val="0"/>
          <w:color w:val="auto"/>
          <w:sz w:val="32"/>
          <w:szCs w:val="32"/>
          <w:highlight w:val="none"/>
          <w:lang w:val="en-US" w:eastAsia="zh-CN"/>
        </w:rPr>
        <w:t>335起</w:t>
      </w:r>
      <w:r>
        <w:rPr>
          <w:rFonts w:hint="eastAsia" w:ascii="仿宋" w:hAnsi="仿宋" w:eastAsia="仿宋" w:cs="仿宋"/>
          <w:b w:val="0"/>
          <w:bCs w:val="0"/>
          <w:color w:val="auto"/>
          <w:sz w:val="32"/>
          <w:szCs w:val="32"/>
          <w:highlight w:val="none"/>
          <w:lang w:val="zh-CN"/>
        </w:rPr>
        <w:t>案</w:t>
      </w:r>
      <w:r>
        <w:rPr>
          <w:rFonts w:hint="eastAsia" w:ascii="仿宋" w:hAnsi="仿宋" w:eastAsia="仿宋" w:cs="仿宋"/>
          <w:b w:val="0"/>
          <w:bCs w:val="0"/>
          <w:sz w:val="32"/>
          <w:szCs w:val="32"/>
          <w:highlight w:val="none"/>
          <w:lang w:val="zh-CN"/>
        </w:rPr>
        <w:t>件</w:t>
      </w:r>
      <w:r>
        <w:rPr>
          <w:rFonts w:hint="eastAsia" w:ascii="仿宋" w:hAnsi="仿宋" w:eastAsia="仿宋" w:cs="仿宋"/>
          <w:b w:val="0"/>
          <w:bCs w:val="0"/>
          <w:sz w:val="32"/>
          <w:szCs w:val="32"/>
          <w:lang w:val="zh-CN"/>
        </w:rPr>
        <w:t>被消灭在诉讼之外。</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hint="eastAsia" w:ascii="仿宋" w:hAnsi="仿宋" w:eastAsia="仿宋" w:cs="仿宋"/>
          <w:b/>
          <w:bCs/>
          <w:sz w:val="32"/>
          <w:szCs w:val="32"/>
          <w:lang w:val="zh-CN"/>
        </w:rPr>
      </w:pPr>
      <w:r>
        <w:rPr>
          <w:rFonts w:hint="eastAsia" w:ascii="仿宋" w:hAnsi="仿宋" w:eastAsia="仿宋" w:cs="仿宋"/>
          <w:b/>
          <w:bCs/>
          <w:color w:val="auto"/>
          <w:sz w:val="32"/>
          <w:szCs w:val="32"/>
          <w:u w:val="none"/>
          <w:lang w:val="zh-CN"/>
        </w:rPr>
        <w:t>实行审判辅助事务集约化改革。</w:t>
      </w:r>
      <w:r>
        <w:rPr>
          <w:rFonts w:hint="eastAsia" w:ascii="仿宋" w:hAnsi="仿宋" w:eastAsia="仿宋" w:cs="仿宋"/>
          <w:b w:val="0"/>
          <w:bCs w:val="0"/>
          <w:sz w:val="32"/>
          <w:szCs w:val="32"/>
          <w:lang w:val="zh-CN"/>
        </w:rPr>
        <w:t>成立领导小组，多次研讨部署，组织考察团先后前往双阳法院、公主岭法院调研学习，交流经验，拓宽思路；召开座谈会，邀请一线法官、法官助理、书记员代表参与其中，建言献策</w:t>
      </w:r>
      <w:r>
        <w:rPr>
          <w:rFonts w:hint="eastAsia" w:ascii="仿宋" w:hAnsi="仿宋" w:eastAsia="仿宋" w:cs="仿宋"/>
          <w:b w:val="0"/>
          <w:bCs w:val="0"/>
          <w:sz w:val="32"/>
          <w:szCs w:val="32"/>
          <w:lang w:val="en-US" w:eastAsia="zh-CN"/>
        </w:rPr>
        <w:t>；</w:t>
      </w:r>
      <w:r>
        <w:rPr>
          <w:rFonts w:hint="eastAsia" w:ascii="仿宋" w:hAnsi="仿宋" w:eastAsia="仿宋" w:cs="仿宋"/>
          <w:b w:val="0"/>
          <w:bCs w:val="0"/>
          <w:sz w:val="32"/>
          <w:szCs w:val="32"/>
          <w:lang w:val="zh-CN"/>
        </w:rPr>
        <w:t>拟定《净月法院审判辅助事务集约化改革工作方案》（征求意见稿），将任务分解到责任部门，定期调度开展情况；围绕集约化改革工作核心内容，确定了“诉讼服务中心”、“智能办案辅助中心”、“送达事务中心”、“庭审事务中心”、“审后事务中心”五大审判辅助事务集约化功能区</w:t>
      </w:r>
      <w:r>
        <w:rPr>
          <w:rFonts w:hint="eastAsia" w:ascii="仿宋" w:hAnsi="仿宋" w:eastAsia="仿宋" w:cs="仿宋"/>
          <w:b w:val="0"/>
          <w:bCs w:val="0"/>
          <w:sz w:val="32"/>
          <w:szCs w:val="32"/>
          <w:lang w:val="zh-CN" w:eastAsia="zh-CN"/>
        </w:rPr>
        <w:t>。</w:t>
      </w:r>
      <w:r>
        <w:rPr>
          <w:rFonts w:hint="eastAsia" w:ascii="仿宋" w:hAnsi="仿宋" w:eastAsia="仿宋" w:cs="仿宋"/>
          <w:b w:val="0"/>
          <w:bCs w:val="0"/>
          <w:sz w:val="32"/>
          <w:szCs w:val="32"/>
          <w:lang w:val="zh-CN"/>
        </w:rPr>
        <w:t>目前无纸化办案已经实现，集约送达事务正在与第三方公司研讨中。</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楷体" w:hAnsi="楷体" w:eastAsia="楷体" w:cs="楷体"/>
          <w:b w:val="0"/>
          <w:bCs/>
          <w:sz w:val="32"/>
          <w:szCs w:val="32"/>
          <w:lang w:val="zh-CN"/>
        </w:rPr>
      </w:pPr>
      <w:r>
        <w:rPr>
          <w:rFonts w:hint="eastAsia" w:ascii="楷体" w:hAnsi="楷体" w:eastAsia="楷体" w:cs="楷体"/>
          <w:b w:val="0"/>
          <w:bCs/>
          <w:sz w:val="32"/>
          <w:szCs w:val="32"/>
          <w:lang w:val="zh-CN"/>
        </w:rPr>
        <w:t>（五）管党治警，努力锻造忠诚干净担当队伍</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bCs/>
          <w:sz w:val="32"/>
          <w:szCs w:val="32"/>
          <w:lang w:val="zh-CN"/>
        </w:rPr>
      </w:pPr>
      <w:r>
        <w:rPr>
          <w:rFonts w:hint="eastAsia" w:ascii="仿宋" w:hAnsi="仿宋" w:eastAsia="仿宋" w:cs="仿宋"/>
          <w:b/>
          <w:sz w:val="32"/>
          <w:szCs w:val="32"/>
          <w:u w:val="none"/>
          <w:lang w:val="zh-CN"/>
        </w:rPr>
        <w:t>强化政治建设，筑牢政治忠诚。</w:t>
      </w:r>
      <w:r>
        <w:rPr>
          <w:rFonts w:hint="eastAsia" w:ascii="仿宋" w:hAnsi="仿宋" w:eastAsia="仿宋" w:cs="仿宋"/>
          <w:b w:val="0"/>
          <w:bCs w:val="0"/>
          <w:sz w:val="32"/>
          <w:szCs w:val="32"/>
          <w:lang w:val="zh-CN"/>
        </w:rPr>
        <w:t>坚持以习近平新时代中国特色社会主义思想为指导，不断增强“四个意识”，坚定“四个自信”，做到“两个维护”；毫不动摇地坚持党对法院工作的绝对领导，严格执行请示报告制度，向地方党委及上级法院主动报告17次；严格落实意识形态工作责任制，制定《2023年意识形态工作任务清单》，党组专题会议研究部署意识形态工作。</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bCs/>
          <w:sz w:val="32"/>
          <w:szCs w:val="32"/>
          <w:lang w:val="zh-CN"/>
        </w:rPr>
      </w:pPr>
      <w:r>
        <w:rPr>
          <w:rFonts w:hint="eastAsia" w:ascii="仿宋" w:hAnsi="仿宋" w:eastAsia="仿宋" w:cs="仿宋"/>
          <w:b/>
          <w:sz w:val="32"/>
          <w:szCs w:val="32"/>
          <w:u w:val="none"/>
          <w:lang w:val="zh-CN"/>
        </w:rPr>
        <w:t>发挥党建引领，筑牢思想根基。</w:t>
      </w:r>
      <w:r>
        <w:rPr>
          <w:rFonts w:hint="eastAsia" w:ascii="仿宋" w:hAnsi="仿宋" w:eastAsia="仿宋" w:cs="仿宋"/>
          <w:b w:val="0"/>
          <w:bCs w:val="0"/>
          <w:sz w:val="32"/>
          <w:szCs w:val="32"/>
          <w:lang w:val="zh-CN"/>
        </w:rPr>
        <w:t>提前谋划部署学习贯彻习近平新时代中国特色社会主义思想主题教育。高度重视理论学习，提前安排主题教育学习计划，先学一步、学深一层，保证有充足的时间读原著、学原文、悟原理，确保学深悟透；领导干部率先垂范学，参加党组会“第一议题”学习、党组理论学习中心组学习，深入开展调查研究，将党的创新理论转化为推动工作实践的工作方法；党支部依托“三会一课”，组织干警积极开展自学与集体学习，围绕学习内容撰写学习笔记，进行研讨交流，筑牢思想根基；开展“凝心聚力跟党走 团结奋进新征程”“我把诗歌献给党周分享”等主题活动，引导干警坚定理想信念，凝聚奋进力量。</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hint="eastAsia" w:ascii="仿宋" w:hAnsi="仿宋" w:eastAsia="仿宋" w:cs="仿宋"/>
          <w:b w:val="0"/>
          <w:bCs w:val="0"/>
          <w:sz w:val="32"/>
          <w:szCs w:val="32"/>
          <w:lang w:val="en-US" w:eastAsia="zh-CN"/>
        </w:rPr>
      </w:pPr>
      <w:r>
        <w:rPr>
          <w:rFonts w:hint="eastAsia" w:ascii="仿宋" w:hAnsi="仿宋" w:eastAsia="仿宋" w:cs="仿宋"/>
          <w:b/>
          <w:bCs w:val="0"/>
          <w:sz w:val="32"/>
          <w:szCs w:val="32"/>
          <w:u w:val="none"/>
          <w:lang w:val="zh-CN"/>
        </w:rPr>
        <w:t>强化队伍建设，锤炼干事本领。</w:t>
      </w:r>
      <w:r>
        <w:rPr>
          <w:rFonts w:hint="eastAsia" w:ascii="仿宋" w:hAnsi="仿宋" w:eastAsia="仿宋" w:cs="仿宋"/>
          <w:b w:val="0"/>
          <w:bCs w:val="0"/>
          <w:sz w:val="32"/>
          <w:szCs w:val="32"/>
          <w:lang w:val="zh-CN"/>
        </w:rPr>
        <w:t>发挥资深法官“传帮带”作用，成立青年法官业务学习小组，由资深法官与青年法官结对帮扶，定期召开会议，分享办案经验，研讨疑难法律适用问题，促使青年法官快速成长；开启院校合作模式，与吉林财经大学法学院、吉林司法警官职业学院在法律人才教育、实习生培养等方面开展全面合作，以院校交流互动的新模式，促进法院各项工作高质量发展</w:t>
      </w:r>
      <w:r>
        <w:rPr>
          <w:rFonts w:hint="eastAsia" w:ascii="仿宋" w:hAnsi="仿宋" w:eastAsia="仿宋" w:cs="仿宋"/>
          <w:b w:val="0"/>
          <w:bCs/>
          <w:sz w:val="32"/>
          <w:szCs w:val="32"/>
          <w:lang w:val="zh-CN"/>
        </w:rPr>
        <w:t>；</w:t>
      </w:r>
      <w:r>
        <w:rPr>
          <w:rFonts w:hint="eastAsia" w:ascii="仿宋" w:hAnsi="仿宋" w:eastAsia="仿宋" w:cs="仿宋"/>
          <w:b w:val="0"/>
          <w:bCs w:val="0"/>
          <w:sz w:val="32"/>
          <w:szCs w:val="32"/>
          <w:lang w:val="zh-CN"/>
        </w:rPr>
        <w:t>深入开展调查研究，积极参加政法委、上级法院组织的调研活动，班子成员结合工作实际，牵头以召开座谈会、实地走访、查阅资料等方式深入一线调研，在化解物业合同纠纷、审判辅助事务集约化改革、执行指挥实体化运行等方面已取得阶段性进展，力求形成能够解决问题、推动工作高质量发展的调研成果；继续打造“精品工程”，</w:t>
      </w:r>
      <w:r>
        <w:rPr>
          <w:rFonts w:hint="eastAsia" w:ascii="仿宋" w:hAnsi="仿宋" w:eastAsia="仿宋" w:cs="仿宋"/>
          <w:b w:val="0"/>
          <w:bCs w:val="0"/>
          <w:sz w:val="32"/>
          <w:szCs w:val="32"/>
          <w:lang w:val="en-US" w:eastAsia="zh-CN"/>
        </w:rPr>
        <w:t>2022年在优秀裁判文书、优秀庭审、优秀司法建议等方面均获得了上级法院表彰通报，6篇司法研究课题获得省、市法院奖项，今年持续“深耕”，争取打造更多“精品”。</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bCs/>
          <w:sz w:val="32"/>
          <w:szCs w:val="32"/>
          <w:lang w:val="zh-CN"/>
        </w:rPr>
      </w:pPr>
      <w:r>
        <w:rPr>
          <w:rFonts w:hint="eastAsia" w:ascii="仿宋" w:hAnsi="仿宋" w:eastAsia="仿宋" w:cs="仿宋"/>
          <w:b/>
          <w:sz w:val="32"/>
          <w:szCs w:val="32"/>
          <w:u w:val="none"/>
          <w:lang w:val="zh-CN"/>
        </w:rPr>
        <w:t>加强廉政建设，从严正风肃纪。</w:t>
      </w:r>
      <w:r>
        <w:rPr>
          <w:rFonts w:hint="eastAsia" w:ascii="仿宋" w:hAnsi="仿宋" w:eastAsia="仿宋" w:cs="仿宋"/>
          <w:b w:val="0"/>
          <w:bCs w:val="0"/>
          <w:sz w:val="32"/>
          <w:szCs w:val="32"/>
          <w:lang w:val="zh-CN"/>
        </w:rPr>
        <w:t>认真履行全面从严治党主体责任，制定责任清单，逐级签订党风廉政建设责任书；严格执行防止干预司法“三个规定”，按时进行记录报告；扎实推进司法作风突出问题集中整治，规范庭审、考勤、着装、会风等工作，全面进行查纠整改；定期开展警示教育、廉政学习，吸取违法违纪案例教训，做到警钟长鸣；加强纪检督察工作，持续保持高压态势。</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val="0"/>
          <w:sz w:val="32"/>
          <w:szCs w:val="32"/>
          <w:lang w:val="zh-CN"/>
        </w:rPr>
      </w:pPr>
      <w:r>
        <w:rPr>
          <w:rFonts w:hint="eastAsia" w:ascii="仿宋" w:hAnsi="仿宋" w:eastAsia="仿宋" w:cs="仿宋"/>
          <w:b/>
          <w:bCs w:val="0"/>
          <w:sz w:val="32"/>
          <w:szCs w:val="32"/>
          <w:u w:val="none"/>
          <w:lang w:val="zh-CN"/>
        </w:rPr>
        <w:t>精抓院务管理，完善制度体系。</w:t>
      </w:r>
      <w:r>
        <w:rPr>
          <w:rFonts w:hint="eastAsia" w:ascii="仿宋" w:hAnsi="仿宋" w:eastAsia="仿宋" w:cs="仿宋"/>
          <w:b w:val="0"/>
          <w:bCs w:val="0"/>
          <w:sz w:val="32"/>
          <w:szCs w:val="32"/>
          <w:lang w:val="zh-CN"/>
        </w:rPr>
        <w:t>扎实开展“标准化建设年”活动，组织开展标准化业务系列培训，确保各项工作安全有序进行；做好办公场所、审判场所、食堂、车辆等日常管理，常态化进行安全隐患排查，避免事故发生；组织安全讲座及消防演练，常备应急物资，制定应急预案，提高安全意识和应急处突能力；严格执行保密制度，加强网络安全管理，强化保密意识，落实保密责任；严格执行财务制度；严格档案管理规定，进一步规范归档档案质量，提升档案管理质效；提升警务人员各项素质，规范安检行为，加强勤务保障，确保法院机关安全，4人分获省级、市级教练员及优秀学员称号。</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下一步工作安排</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ascii="仿宋" w:hAnsi="仿宋" w:eastAsia="仿宋"/>
          <w:b w:val="0"/>
          <w:bCs/>
          <w:sz w:val="32"/>
          <w:szCs w:val="32"/>
        </w:rPr>
      </w:pPr>
      <w:r>
        <w:rPr>
          <w:rFonts w:hint="eastAsia" w:ascii="仿宋" w:hAnsi="仿宋" w:eastAsia="仿宋" w:cs="仿宋"/>
          <w:b w:val="0"/>
          <w:bCs/>
          <w:sz w:val="32"/>
          <w:szCs w:val="32"/>
        </w:rPr>
        <w:t>下一步，净月法院将全面学习贯彻习近平新时代中国特色社会主义思想，紧紧围绕审判执行中心工作，切实履行好维护社会大局稳定、促进社会公平正义、保障人民安居乐业职责，</w:t>
      </w:r>
      <w:r>
        <w:rPr>
          <w:rFonts w:hint="eastAsia" w:ascii="仿宋" w:hAnsi="仿宋" w:eastAsia="仿宋"/>
          <w:b w:val="0"/>
          <w:bCs/>
          <w:sz w:val="32"/>
          <w:szCs w:val="32"/>
        </w:rPr>
        <w:t>干事创业、实干担当，向推动各项工作全面高质量发展迈出新步伐，为净月区提供更加有力的司法服务和司法保障。</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ascii="仿宋" w:hAnsi="仿宋" w:eastAsia="仿宋"/>
          <w:b w:val="0"/>
          <w:bCs/>
          <w:sz w:val="32"/>
          <w:szCs w:val="32"/>
        </w:rPr>
      </w:pPr>
      <w:r>
        <w:rPr>
          <w:rFonts w:hint="eastAsia" w:ascii="仿宋" w:hAnsi="仿宋" w:eastAsia="仿宋" w:cs="仿宋"/>
          <w:b/>
          <w:bCs/>
          <w:sz w:val="32"/>
          <w:szCs w:val="32"/>
        </w:rPr>
        <w:t>一是坚持党的领导，坚定正确政治方向。</w:t>
      </w:r>
      <w:r>
        <w:rPr>
          <w:rFonts w:hint="eastAsia" w:ascii="仿宋" w:hAnsi="仿宋" w:eastAsia="仿宋" w:cs="仿宋"/>
          <w:b w:val="0"/>
          <w:bCs/>
          <w:sz w:val="32"/>
          <w:szCs w:val="32"/>
        </w:rPr>
        <w:t>深入学习贯彻党的二十大精神，毫不动摇的坚持党对法院工作的绝对领导，开展好学习贯彻习近平新时代中国特色社会主义思想主题教育，增强“四个意识”、坚定“四个自信”、做到“两个维护”，确保党中央大政方针、各级党委、上级法院的工作部署在净</w:t>
      </w:r>
      <w:r>
        <w:rPr>
          <w:rFonts w:hint="eastAsia" w:ascii="仿宋" w:hAnsi="仿宋" w:eastAsia="仿宋"/>
          <w:b w:val="0"/>
          <w:bCs/>
          <w:sz w:val="32"/>
          <w:szCs w:val="32"/>
        </w:rPr>
        <w:t>月法院得到不折不扣的贯彻落实。</w:t>
      </w:r>
    </w:p>
    <w:p>
      <w:pPr>
        <w:keepNext w:val="0"/>
        <w:keepLines w:val="0"/>
        <w:pageBreakBefore w:val="0"/>
        <w:kinsoku/>
        <w:wordWrap/>
        <w:overflowPunct/>
        <w:topLinePunct w:val="0"/>
        <w:autoSpaceDE/>
        <w:autoSpaceDN/>
        <w:bidi w:val="0"/>
        <w:adjustRightInd/>
        <w:snapToGrid/>
        <w:spacing w:line="580" w:lineRule="exact"/>
        <w:ind w:firstLine="660"/>
        <w:textAlignment w:val="auto"/>
        <w:rPr>
          <w:rFonts w:ascii="仿宋" w:hAnsi="仿宋" w:eastAsia="仿宋"/>
          <w:b w:val="0"/>
          <w:bCs/>
          <w:sz w:val="32"/>
          <w:szCs w:val="32"/>
        </w:rPr>
      </w:pPr>
      <w:r>
        <w:rPr>
          <w:rFonts w:hint="eastAsia" w:ascii="仿宋" w:hAnsi="仿宋" w:eastAsia="仿宋"/>
          <w:b/>
          <w:bCs/>
          <w:sz w:val="32"/>
          <w:szCs w:val="32"/>
        </w:rPr>
        <w:t>二是聚焦主责主业，维护社会公平正义。</w:t>
      </w:r>
      <w:r>
        <w:rPr>
          <w:rFonts w:hint="eastAsia" w:ascii="仿宋" w:hAnsi="仿宋" w:eastAsia="仿宋"/>
          <w:b w:val="0"/>
          <w:bCs/>
          <w:sz w:val="32"/>
          <w:szCs w:val="32"/>
        </w:rPr>
        <w:t>开展常态化扫黑除恶专项斗争，严厉打击各类违法犯罪，不断增强人民群众安全感；妥善化解民商案件纠纷，打造和谐稳定社会氛围；充分发挥行政审判职能，支持行政机关依法履职；持续加大执行工作力度，实现当事人的胜诉权益。</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b w:val="0"/>
          <w:bCs/>
          <w:sz w:val="32"/>
          <w:szCs w:val="32"/>
        </w:rPr>
      </w:pPr>
      <w:r>
        <w:rPr>
          <w:rFonts w:hint="eastAsia" w:ascii="仿宋" w:hAnsi="仿宋" w:eastAsia="仿宋"/>
          <w:b/>
          <w:bCs/>
          <w:sz w:val="32"/>
          <w:szCs w:val="32"/>
        </w:rPr>
        <w:t>三是服务中心大局，发挥司法社会属性。</w:t>
      </w:r>
      <w:r>
        <w:rPr>
          <w:rFonts w:hint="eastAsia" w:ascii="仿宋" w:hAnsi="仿宋" w:eastAsia="仿宋"/>
          <w:b w:val="0"/>
          <w:bCs/>
          <w:sz w:val="32"/>
          <w:szCs w:val="32"/>
        </w:rPr>
        <w:t>自觉把法院工作置于全区重大决策部署中，围绕中心，服务大局；强化责任担当，切实做好涉诉信访维稳工作；增强服务意识，提升服务水平，扎实推进法治化营商环境建设；主动融入基层，</w:t>
      </w:r>
      <w:r>
        <w:rPr>
          <w:rFonts w:hint="eastAsia" w:ascii="仿宋" w:hAnsi="仿宋" w:eastAsia="仿宋" w:cs="仿宋"/>
          <w:b w:val="0"/>
          <w:bCs/>
          <w:sz w:val="32"/>
          <w:szCs w:val="32"/>
        </w:rPr>
        <w:t>助力提升社会治理法治化水平。</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r>
        <w:rPr>
          <w:rFonts w:hint="eastAsia" w:ascii="仿宋" w:hAnsi="仿宋" w:eastAsia="仿宋" w:cs="仿宋"/>
          <w:b/>
          <w:bCs/>
          <w:sz w:val="32"/>
          <w:szCs w:val="32"/>
        </w:rPr>
        <w:t>四是坚持人民至上，积极践行司法为民。</w:t>
      </w:r>
      <w:r>
        <w:rPr>
          <w:rFonts w:hint="eastAsia" w:ascii="仿宋" w:hAnsi="仿宋" w:eastAsia="仿宋" w:cs="仿宋"/>
          <w:b w:val="0"/>
          <w:bCs/>
          <w:sz w:val="32"/>
          <w:szCs w:val="32"/>
        </w:rPr>
        <w:t>立足本职工作，强化民生司法保障，解决好人民群众急难愁盼问题；持续改进司法作风，积极回应好人民群众的司法需求；优化诉讼服务</w:t>
      </w:r>
      <w:r>
        <w:rPr>
          <w:rFonts w:hint="eastAsia" w:ascii="仿宋" w:hAnsi="仿宋" w:eastAsia="仿宋" w:cs="仿宋"/>
          <w:b w:val="0"/>
          <w:bCs/>
          <w:sz w:val="32"/>
          <w:szCs w:val="32"/>
          <w:lang w:val="zh-CN"/>
        </w:rPr>
        <w:t>，巩固深化各项司法便民举措</w:t>
      </w:r>
      <w:r>
        <w:rPr>
          <w:rFonts w:hint="eastAsia" w:ascii="仿宋" w:hAnsi="仿宋" w:eastAsia="仿宋" w:cs="仿宋"/>
          <w:b w:val="0"/>
          <w:bCs/>
          <w:sz w:val="32"/>
          <w:szCs w:val="32"/>
        </w:rPr>
        <w:t>；完善多元化纠纷解决机制建设，促进矛盾纠纷及时化解。</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r>
        <w:rPr>
          <w:rFonts w:hint="eastAsia" w:ascii="仿宋" w:hAnsi="仿宋" w:eastAsia="仿宋"/>
          <w:b/>
          <w:bCs/>
          <w:sz w:val="32"/>
          <w:szCs w:val="32"/>
        </w:rPr>
        <w:t>五是推进司法改革，努力提升审判质效。</w:t>
      </w:r>
      <w:r>
        <w:rPr>
          <w:rFonts w:hint="eastAsia" w:ascii="仿宋" w:hAnsi="仿宋" w:eastAsia="仿宋"/>
          <w:b w:val="0"/>
          <w:bCs/>
          <w:sz w:val="32"/>
          <w:szCs w:val="32"/>
        </w:rPr>
        <w:t>探索审判管理新模式，不断提高审执质效；</w:t>
      </w:r>
      <w:r>
        <w:rPr>
          <w:rFonts w:hint="eastAsia" w:ascii="仿宋" w:hAnsi="仿宋" w:eastAsia="仿宋" w:cs="仿宋"/>
          <w:b w:val="0"/>
          <w:bCs/>
          <w:sz w:val="32"/>
          <w:szCs w:val="32"/>
        </w:rPr>
        <w:t>完善智慧法院应用，推进“互联网+”办案模式，不断为当事人提供便捷高效司法服务；完成审判辅助事务集约化改革工作。</w:t>
      </w: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r>
        <w:rPr>
          <w:rFonts w:hint="eastAsia" w:ascii="仿宋" w:hAnsi="仿宋" w:eastAsia="仿宋"/>
          <w:b/>
          <w:bCs/>
          <w:sz w:val="32"/>
          <w:szCs w:val="32"/>
        </w:rPr>
        <w:t>六是</w:t>
      </w:r>
      <w:r>
        <w:rPr>
          <w:rFonts w:hint="eastAsia" w:ascii="仿宋" w:hAnsi="仿宋" w:eastAsia="仿宋" w:cs="仿宋"/>
          <w:b/>
          <w:bCs/>
          <w:sz w:val="32"/>
          <w:szCs w:val="32"/>
        </w:rPr>
        <w:t>全面从严治党，打造过硬法院队伍。</w:t>
      </w:r>
      <w:r>
        <w:rPr>
          <w:rFonts w:hint="eastAsia" w:ascii="仿宋" w:hAnsi="仿宋" w:eastAsia="仿宋" w:cs="仿宋"/>
          <w:b w:val="0"/>
          <w:bCs/>
          <w:sz w:val="32"/>
          <w:szCs w:val="32"/>
        </w:rPr>
        <w:t>突出党建引领，推动各项工作有机融合；狠抓党风廉政建设，坚定不移推进全面从严治党、从严治院；提升干警综合素质水平，打造忠诚干净担当法院队伍。</w:t>
      </w:r>
    </w:p>
    <w:p>
      <w:pPr>
        <w:pStyle w:val="3"/>
        <w:keepNext w:val="0"/>
        <w:keepLines w:val="0"/>
        <w:pageBreakBefore w:val="0"/>
        <w:kinsoku/>
        <w:wordWrap/>
        <w:overflowPunct/>
        <w:topLinePunct w:val="0"/>
        <w:autoSpaceDE/>
        <w:autoSpaceDN/>
        <w:bidi w:val="0"/>
        <w:adjustRightInd/>
        <w:snapToGrid/>
        <w:spacing w:line="580" w:lineRule="exact"/>
        <w:ind w:firstLine="0" w:firstLineChars="0"/>
        <w:textAlignment w:val="auto"/>
        <w:rPr>
          <w:rFonts w:hint="eastAsia" w:ascii="仿宋" w:hAnsi="仿宋" w:eastAsia="仿宋" w:cs="仿宋"/>
          <w:b/>
          <w:sz w:val="32"/>
          <w:szCs w:val="32"/>
        </w:rPr>
      </w:pPr>
    </w:p>
    <w:p>
      <w:pPr>
        <w:pStyle w:val="3"/>
        <w:keepNext w:val="0"/>
        <w:keepLines w:val="0"/>
        <w:pageBreakBefore w:val="0"/>
        <w:kinsoku/>
        <w:wordWrap/>
        <w:overflowPunct/>
        <w:topLinePunct w:val="0"/>
        <w:autoSpaceDE/>
        <w:autoSpaceDN/>
        <w:bidi w:val="0"/>
        <w:adjustRightInd/>
        <w:snapToGrid/>
        <w:spacing w:line="580" w:lineRule="exact"/>
        <w:ind w:firstLine="643"/>
        <w:textAlignment w:val="auto"/>
        <w:rPr>
          <w:rFonts w:ascii="仿宋" w:hAnsi="仿宋" w:eastAsia="仿宋" w:cs="仿宋"/>
          <w:b w:val="0"/>
          <w:bCs/>
          <w:sz w:val="32"/>
          <w:szCs w:val="32"/>
        </w:rPr>
      </w:pPr>
    </w:p>
    <w:p>
      <w:pPr>
        <w:keepNext w:val="0"/>
        <w:keepLines w:val="0"/>
        <w:pageBreakBefore w:val="0"/>
        <w:suppressAutoHyphens/>
        <w:kinsoku/>
        <w:wordWrap/>
        <w:overflowPunct/>
        <w:topLinePunct w:val="0"/>
        <w:autoSpaceDE/>
        <w:autoSpaceDN/>
        <w:bidi w:val="0"/>
        <w:adjustRightInd/>
        <w:snapToGrid/>
        <w:spacing w:line="580" w:lineRule="exact"/>
        <w:textAlignment w:val="auto"/>
        <w:rPr>
          <w:rFonts w:ascii="方正楷体_GBK" w:hAnsi="方正楷体_GBK" w:eastAsia="方正楷体_GBK" w:cs="方正楷体_GBK"/>
          <w:b/>
          <w:sz w:val="32"/>
          <w:szCs w:val="32"/>
        </w:rPr>
      </w:pPr>
    </w:p>
    <w:p>
      <w:pPr>
        <w:keepNext w:val="0"/>
        <w:keepLines w:val="0"/>
        <w:pageBreakBefore w:val="0"/>
        <w:kinsoku/>
        <w:wordWrap/>
        <w:overflowPunct/>
        <w:topLinePunct w:val="0"/>
        <w:autoSpaceDE/>
        <w:autoSpaceDN/>
        <w:bidi w:val="0"/>
        <w:adjustRightInd/>
        <w:snapToGrid/>
        <w:spacing w:line="580" w:lineRule="exact"/>
        <w:textAlignment w:val="auto"/>
        <w:rPr>
          <w:b/>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wZDZkMDliNzI2Y2ZiYzFhMTFkM2YyYTk0ZGFiMjQifQ=="/>
  </w:docVars>
  <w:rsids>
    <w:rsidRoot w:val="009C0142"/>
    <w:rsid w:val="00004528"/>
    <w:rsid w:val="00033E5D"/>
    <w:rsid w:val="000A15E0"/>
    <w:rsid w:val="000B4DD0"/>
    <w:rsid w:val="000C64CC"/>
    <w:rsid w:val="000C6CA8"/>
    <w:rsid w:val="000D16FB"/>
    <w:rsid w:val="000D2DBF"/>
    <w:rsid w:val="000E2726"/>
    <w:rsid w:val="000E7C78"/>
    <w:rsid w:val="000F61B5"/>
    <w:rsid w:val="001223C3"/>
    <w:rsid w:val="00122F83"/>
    <w:rsid w:val="0015663B"/>
    <w:rsid w:val="001770E7"/>
    <w:rsid w:val="001B158E"/>
    <w:rsid w:val="001C0099"/>
    <w:rsid w:val="001C1F8C"/>
    <w:rsid w:val="001C5B4F"/>
    <w:rsid w:val="001E3EB3"/>
    <w:rsid w:val="001E4A63"/>
    <w:rsid w:val="002101B4"/>
    <w:rsid w:val="00216EFD"/>
    <w:rsid w:val="00242CA4"/>
    <w:rsid w:val="002970BC"/>
    <w:rsid w:val="00297B45"/>
    <w:rsid w:val="002A6B02"/>
    <w:rsid w:val="002E2F1D"/>
    <w:rsid w:val="00311FAA"/>
    <w:rsid w:val="00371449"/>
    <w:rsid w:val="003A6B22"/>
    <w:rsid w:val="003B387E"/>
    <w:rsid w:val="003C06E6"/>
    <w:rsid w:val="003C2875"/>
    <w:rsid w:val="003F5B92"/>
    <w:rsid w:val="003F6049"/>
    <w:rsid w:val="004316DF"/>
    <w:rsid w:val="0045404F"/>
    <w:rsid w:val="00463CDE"/>
    <w:rsid w:val="004C04DB"/>
    <w:rsid w:val="004C7ABC"/>
    <w:rsid w:val="005025EE"/>
    <w:rsid w:val="00506CAF"/>
    <w:rsid w:val="00536DC6"/>
    <w:rsid w:val="005575D7"/>
    <w:rsid w:val="00576448"/>
    <w:rsid w:val="005A060C"/>
    <w:rsid w:val="005B6277"/>
    <w:rsid w:val="00614A16"/>
    <w:rsid w:val="006239C9"/>
    <w:rsid w:val="0066135F"/>
    <w:rsid w:val="006673F5"/>
    <w:rsid w:val="00674432"/>
    <w:rsid w:val="00686903"/>
    <w:rsid w:val="006A45E6"/>
    <w:rsid w:val="006B6B76"/>
    <w:rsid w:val="006D7898"/>
    <w:rsid w:val="006E212C"/>
    <w:rsid w:val="007174CB"/>
    <w:rsid w:val="0074201B"/>
    <w:rsid w:val="007A2555"/>
    <w:rsid w:val="007B3C77"/>
    <w:rsid w:val="007C4ABF"/>
    <w:rsid w:val="007F19FE"/>
    <w:rsid w:val="007F4BF8"/>
    <w:rsid w:val="00806587"/>
    <w:rsid w:val="008A5329"/>
    <w:rsid w:val="008B2D05"/>
    <w:rsid w:val="008C1AEC"/>
    <w:rsid w:val="008D5D49"/>
    <w:rsid w:val="008D7F74"/>
    <w:rsid w:val="008E03BE"/>
    <w:rsid w:val="008F2451"/>
    <w:rsid w:val="00930965"/>
    <w:rsid w:val="00934BD7"/>
    <w:rsid w:val="0094068C"/>
    <w:rsid w:val="009435E8"/>
    <w:rsid w:val="009A596B"/>
    <w:rsid w:val="009B3C21"/>
    <w:rsid w:val="009C0142"/>
    <w:rsid w:val="009C17B7"/>
    <w:rsid w:val="009F3269"/>
    <w:rsid w:val="009F5E6C"/>
    <w:rsid w:val="009F6F47"/>
    <w:rsid w:val="00A212DA"/>
    <w:rsid w:val="00A25AB9"/>
    <w:rsid w:val="00A44841"/>
    <w:rsid w:val="00AB0BC4"/>
    <w:rsid w:val="00AB64F9"/>
    <w:rsid w:val="00AD038F"/>
    <w:rsid w:val="00AD1E20"/>
    <w:rsid w:val="00AD3769"/>
    <w:rsid w:val="00AE46DC"/>
    <w:rsid w:val="00AE5164"/>
    <w:rsid w:val="00B05BCA"/>
    <w:rsid w:val="00B473AF"/>
    <w:rsid w:val="00B53885"/>
    <w:rsid w:val="00BA4AE1"/>
    <w:rsid w:val="00BC1910"/>
    <w:rsid w:val="00BE6B1E"/>
    <w:rsid w:val="00BF1B33"/>
    <w:rsid w:val="00C270AA"/>
    <w:rsid w:val="00C911A4"/>
    <w:rsid w:val="00CB1696"/>
    <w:rsid w:val="00CB3AA8"/>
    <w:rsid w:val="00CB453D"/>
    <w:rsid w:val="00CD3F81"/>
    <w:rsid w:val="00CF2748"/>
    <w:rsid w:val="00D52031"/>
    <w:rsid w:val="00D753BA"/>
    <w:rsid w:val="00D96DF2"/>
    <w:rsid w:val="00DB0598"/>
    <w:rsid w:val="00DC0E1A"/>
    <w:rsid w:val="00DF0C87"/>
    <w:rsid w:val="00E03D08"/>
    <w:rsid w:val="00E06A8C"/>
    <w:rsid w:val="00E06F04"/>
    <w:rsid w:val="00E11844"/>
    <w:rsid w:val="00E17E24"/>
    <w:rsid w:val="00E256F7"/>
    <w:rsid w:val="00E43A3C"/>
    <w:rsid w:val="00E44DEF"/>
    <w:rsid w:val="00E47B0E"/>
    <w:rsid w:val="00E569B5"/>
    <w:rsid w:val="00E60AFC"/>
    <w:rsid w:val="00E82FB9"/>
    <w:rsid w:val="00E85F27"/>
    <w:rsid w:val="00EA147C"/>
    <w:rsid w:val="00EB2A81"/>
    <w:rsid w:val="00EC1588"/>
    <w:rsid w:val="00EE3560"/>
    <w:rsid w:val="00EF4468"/>
    <w:rsid w:val="00F26670"/>
    <w:rsid w:val="00F315BA"/>
    <w:rsid w:val="00F4702E"/>
    <w:rsid w:val="00F5097C"/>
    <w:rsid w:val="00F82577"/>
    <w:rsid w:val="00F945D1"/>
    <w:rsid w:val="00F96FF2"/>
    <w:rsid w:val="00FA062C"/>
    <w:rsid w:val="00FB18B9"/>
    <w:rsid w:val="00FB6A0E"/>
    <w:rsid w:val="00FE0AE7"/>
    <w:rsid w:val="00FE7814"/>
    <w:rsid w:val="017B7436"/>
    <w:rsid w:val="01FA65AD"/>
    <w:rsid w:val="02197B6B"/>
    <w:rsid w:val="02F23728"/>
    <w:rsid w:val="04595857"/>
    <w:rsid w:val="047210F8"/>
    <w:rsid w:val="05C91EF9"/>
    <w:rsid w:val="06AC1E40"/>
    <w:rsid w:val="093C56FD"/>
    <w:rsid w:val="0B4B15E0"/>
    <w:rsid w:val="0EBB2F62"/>
    <w:rsid w:val="10A02A15"/>
    <w:rsid w:val="110F1949"/>
    <w:rsid w:val="1136227A"/>
    <w:rsid w:val="11440E4C"/>
    <w:rsid w:val="1170063A"/>
    <w:rsid w:val="11E0435D"/>
    <w:rsid w:val="13791725"/>
    <w:rsid w:val="13BD743A"/>
    <w:rsid w:val="14A359F5"/>
    <w:rsid w:val="16341045"/>
    <w:rsid w:val="17E53404"/>
    <w:rsid w:val="1B7139D2"/>
    <w:rsid w:val="1C291AAE"/>
    <w:rsid w:val="1D5317F9"/>
    <w:rsid w:val="1E4A3D26"/>
    <w:rsid w:val="1F6B68E4"/>
    <w:rsid w:val="1F9951FF"/>
    <w:rsid w:val="20EC5803"/>
    <w:rsid w:val="211A5ECC"/>
    <w:rsid w:val="21747CD2"/>
    <w:rsid w:val="21CB123C"/>
    <w:rsid w:val="21EA1D42"/>
    <w:rsid w:val="228D0920"/>
    <w:rsid w:val="229D6DB5"/>
    <w:rsid w:val="22CA787B"/>
    <w:rsid w:val="232B2612"/>
    <w:rsid w:val="24C7636B"/>
    <w:rsid w:val="25E1347E"/>
    <w:rsid w:val="273318F6"/>
    <w:rsid w:val="285C326E"/>
    <w:rsid w:val="29891E41"/>
    <w:rsid w:val="2C671545"/>
    <w:rsid w:val="2E0956DD"/>
    <w:rsid w:val="2E527012"/>
    <w:rsid w:val="2E821554"/>
    <w:rsid w:val="2EA93559"/>
    <w:rsid w:val="2FDB53C0"/>
    <w:rsid w:val="314825E1"/>
    <w:rsid w:val="32747CCE"/>
    <w:rsid w:val="33F94A6B"/>
    <w:rsid w:val="34471173"/>
    <w:rsid w:val="347B2BB9"/>
    <w:rsid w:val="359A53D6"/>
    <w:rsid w:val="363F6ACC"/>
    <w:rsid w:val="370451FC"/>
    <w:rsid w:val="3736112E"/>
    <w:rsid w:val="386C12AB"/>
    <w:rsid w:val="3A1A6AE5"/>
    <w:rsid w:val="3A6C45A9"/>
    <w:rsid w:val="3D944C5D"/>
    <w:rsid w:val="3DBA03C3"/>
    <w:rsid w:val="3DDD1619"/>
    <w:rsid w:val="3EA90437"/>
    <w:rsid w:val="3F5465F5"/>
    <w:rsid w:val="3F786788"/>
    <w:rsid w:val="40A63C9D"/>
    <w:rsid w:val="42E5394B"/>
    <w:rsid w:val="44494453"/>
    <w:rsid w:val="44817E8C"/>
    <w:rsid w:val="44A43B7B"/>
    <w:rsid w:val="44CC354F"/>
    <w:rsid w:val="44D04970"/>
    <w:rsid w:val="4AB8212E"/>
    <w:rsid w:val="4ACC5BD9"/>
    <w:rsid w:val="4D6C0FAE"/>
    <w:rsid w:val="4EB8094F"/>
    <w:rsid w:val="4F8C5937"/>
    <w:rsid w:val="51622DF4"/>
    <w:rsid w:val="535624E4"/>
    <w:rsid w:val="55943798"/>
    <w:rsid w:val="56E60023"/>
    <w:rsid w:val="58461C29"/>
    <w:rsid w:val="591F781C"/>
    <w:rsid w:val="59D14FBA"/>
    <w:rsid w:val="5C835DA4"/>
    <w:rsid w:val="5CE648D9"/>
    <w:rsid w:val="5D7E7207"/>
    <w:rsid w:val="615870CE"/>
    <w:rsid w:val="63493E13"/>
    <w:rsid w:val="64287ECD"/>
    <w:rsid w:val="65CB0B10"/>
    <w:rsid w:val="66A219E9"/>
    <w:rsid w:val="66FB45E7"/>
    <w:rsid w:val="67574915"/>
    <w:rsid w:val="68491F2B"/>
    <w:rsid w:val="68C46582"/>
    <w:rsid w:val="68E737B4"/>
    <w:rsid w:val="6ACB3360"/>
    <w:rsid w:val="6C8E23FB"/>
    <w:rsid w:val="6D68133A"/>
    <w:rsid w:val="6F3C2A7E"/>
    <w:rsid w:val="6FE3409F"/>
    <w:rsid w:val="70115CB9"/>
    <w:rsid w:val="706A53C9"/>
    <w:rsid w:val="70E84C6C"/>
    <w:rsid w:val="72783DCD"/>
    <w:rsid w:val="76A67A7B"/>
    <w:rsid w:val="76FD0D45"/>
    <w:rsid w:val="77A33B7C"/>
    <w:rsid w:val="77F55EC0"/>
    <w:rsid w:val="787645FC"/>
    <w:rsid w:val="78E43CD8"/>
    <w:rsid w:val="79305402"/>
    <w:rsid w:val="7A0643B5"/>
    <w:rsid w:val="7B3428E1"/>
    <w:rsid w:val="7B902188"/>
    <w:rsid w:val="7D20578D"/>
    <w:rsid w:val="7D4A280A"/>
    <w:rsid w:val="7ECD35DF"/>
    <w:rsid w:val="7F650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Salutation"/>
    <w:basedOn w:val="1"/>
    <w:next w:val="1"/>
    <w:qFormat/>
    <w:uiPriority w:val="0"/>
    <w:rPr>
      <w:rFonts w:cs="Times New Roman"/>
      <w:szCs w:val="24"/>
    </w:rPr>
  </w:style>
  <w:style w:type="paragraph" w:styleId="3">
    <w:name w:val="Normal Indent"/>
    <w:basedOn w:val="1"/>
    <w:unhideWhenUsed/>
    <w:qFormat/>
    <w:uiPriority w:val="0"/>
    <w:pPr>
      <w:ind w:firstLine="420" w:firstLineChars="200"/>
    </w:p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14</Pages>
  <Words>7149</Words>
  <Characters>7327</Characters>
  <Lines>49</Lines>
  <Paragraphs>13</Paragraphs>
  <TotalTime>13</TotalTime>
  <ScaleCrop>false</ScaleCrop>
  <LinksUpToDate>false</LinksUpToDate>
  <CharactersWithSpaces>7362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2023-07-06T11:20:00Z</dcterms:created>
  <dc:creator>贾晓红</dc:creator>
  <cp:lastModifiedBy>陈新禹</cp:lastModifiedBy>
  <dcterms:modified xsi:type="dcterms:W3CDTF">2023-10-23T04:15:22Z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A0BA8961E59E44FC85DDA09BAC6F4194_12</vt:lpwstr>
  </property>
</Properties>
</file>