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DF" w:rsidRDefault="00CE07DF" w:rsidP="002C75F8">
      <w:pPr>
        <w:jc w:val="center"/>
        <w:rPr>
          <w:rFonts w:ascii="方正小标宋简体" w:eastAsia="方正小标宋简体"/>
          <w:sz w:val="36"/>
          <w:szCs w:val="36"/>
        </w:rPr>
      </w:pPr>
    </w:p>
    <w:p w:rsidR="00D22F4E" w:rsidRDefault="002C75F8" w:rsidP="002C75F8">
      <w:pPr>
        <w:jc w:val="center"/>
        <w:rPr>
          <w:rFonts w:ascii="方正小标宋简体" w:eastAsia="方正小标宋简体"/>
          <w:sz w:val="36"/>
          <w:szCs w:val="36"/>
        </w:rPr>
      </w:pPr>
      <w:r w:rsidRPr="002C75F8">
        <w:rPr>
          <w:rFonts w:ascii="方正小标宋简体" w:eastAsia="方正小标宋简体" w:hint="eastAsia"/>
          <w:sz w:val="36"/>
          <w:szCs w:val="36"/>
        </w:rPr>
        <w:t>（净月法院）2022年上半年双百核查总结报告</w:t>
      </w:r>
    </w:p>
    <w:p w:rsidR="00CE07DF" w:rsidRDefault="00CE07DF" w:rsidP="002C75F8">
      <w:pPr>
        <w:jc w:val="center"/>
        <w:rPr>
          <w:rFonts w:ascii="方正小标宋简体" w:eastAsia="方正小标宋简体"/>
          <w:sz w:val="36"/>
          <w:szCs w:val="36"/>
        </w:rPr>
      </w:pPr>
    </w:p>
    <w:p w:rsidR="00CE07DF" w:rsidRDefault="00CE07DF" w:rsidP="002C75F8">
      <w:pPr>
        <w:jc w:val="center"/>
        <w:rPr>
          <w:rFonts w:ascii="方正小标宋简体" w:eastAsia="方正小标宋简体"/>
          <w:sz w:val="36"/>
          <w:szCs w:val="36"/>
        </w:rPr>
      </w:pPr>
    </w:p>
    <w:p w:rsidR="00CE07DF" w:rsidRDefault="00CE07DF" w:rsidP="00CE07DF">
      <w:pPr>
        <w:spacing w:line="70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2C75F8" w:rsidRPr="00CE07DF" w:rsidRDefault="002C75F8" w:rsidP="00A44B27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E07DF">
        <w:rPr>
          <w:rFonts w:ascii="仿宋_GB2312" w:eastAsia="仿宋_GB2312" w:hint="eastAsia"/>
          <w:sz w:val="32"/>
          <w:szCs w:val="32"/>
        </w:rPr>
        <w:t>净月法院2022年1月1日至5月31日共计结案2054</w:t>
      </w:r>
      <w:r w:rsidR="00CE07DF" w:rsidRPr="00CE07DF">
        <w:rPr>
          <w:rFonts w:ascii="仿宋_GB2312" w:eastAsia="仿宋_GB2312" w:hint="eastAsia"/>
          <w:sz w:val="32"/>
          <w:szCs w:val="32"/>
        </w:rPr>
        <w:t>件，</w:t>
      </w:r>
      <w:r w:rsidRPr="00CE07DF">
        <w:rPr>
          <w:rFonts w:ascii="仿宋_GB2312" w:eastAsia="仿宋_GB2312" w:hint="eastAsia"/>
          <w:sz w:val="32"/>
          <w:szCs w:val="32"/>
        </w:rPr>
        <w:t>已</w:t>
      </w:r>
      <w:r w:rsidR="0003645D">
        <w:rPr>
          <w:rFonts w:ascii="仿宋_GB2312" w:eastAsia="仿宋_GB2312" w:hint="eastAsia"/>
          <w:sz w:val="32"/>
          <w:szCs w:val="32"/>
        </w:rPr>
        <w:t>上网</w:t>
      </w:r>
      <w:r w:rsidR="00CE07DF">
        <w:rPr>
          <w:rFonts w:ascii="仿宋_GB2312" w:eastAsia="仿宋_GB2312" w:hint="eastAsia"/>
          <w:sz w:val="32"/>
          <w:szCs w:val="32"/>
        </w:rPr>
        <w:t>裁判</w:t>
      </w:r>
      <w:r w:rsidRPr="00CE07DF">
        <w:rPr>
          <w:rFonts w:ascii="仿宋_GB2312" w:eastAsia="仿宋_GB2312" w:hint="eastAsia"/>
          <w:sz w:val="32"/>
          <w:szCs w:val="32"/>
        </w:rPr>
        <w:t>文书</w:t>
      </w:r>
      <w:r w:rsidR="00CE07DF">
        <w:rPr>
          <w:rFonts w:ascii="仿宋_GB2312" w:eastAsia="仿宋_GB2312" w:hint="eastAsia"/>
          <w:sz w:val="32"/>
          <w:szCs w:val="32"/>
        </w:rPr>
        <w:t>1187</w:t>
      </w:r>
      <w:r w:rsidRPr="00CE07DF">
        <w:rPr>
          <w:rFonts w:ascii="仿宋_GB2312" w:eastAsia="仿宋_GB2312" w:hint="eastAsia"/>
          <w:sz w:val="32"/>
          <w:szCs w:val="32"/>
        </w:rPr>
        <w:t>件</w:t>
      </w:r>
      <w:r w:rsidR="00CE07DF" w:rsidRPr="00CE07DF">
        <w:rPr>
          <w:rFonts w:ascii="仿宋_GB2312" w:eastAsia="仿宋_GB2312" w:hint="eastAsia"/>
          <w:sz w:val="32"/>
          <w:szCs w:val="32"/>
        </w:rPr>
        <w:t>，未</w:t>
      </w:r>
      <w:r w:rsidR="0003645D">
        <w:rPr>
          <w:rFonts w:ascii="仿宋_GB2312" w:eastAsia="仿宋_GB2312" w:hint="eastAsia"/>
          <w:sz w:val="32"/>
          <w:szCs w:val="32"/>
        </w:rPr>
        <w:t>上网</w:t>
      </w:r>
      <w:r w:rsidR="00CE07DF">
        <w:rPr>
          <w:rFonts w:ascii="仿宋_GB2312" w:eastAsia="仿宋_GB2312" w:hint="eastAsia"/>
          <w:sz w:val="32"/>
          <w:szCs w:val="32"/>
        </w:rPr>
        <w:t>裁判</w:t>
      </w:r>
      <w:r w:rsidR="00CE07DF" w:rsidRPr="00CE07DF">
        <w:rPr>
          <w:rFonts w:ascii="仿宋_GB2312" w:eastAsia="仿宋_GB2312" w:hint="eastAsia"/>
          <w:sz w:val="32"/>
          <w:szCs w:val="32"/>
        </w:rPr>
        <w:t>文书</w:t>
      </w:r>
      <w:r w:rsidR="00CE07DF">
        <w:rPr>
          <w:rFonts w:ascii="仿宋_GB2312" w:eastAsia="仿宋_GB2312" w:hint="eastAsia"/>
          <w:sz w:val="32"/>
          <w:szCs w:val="32"/>
        </w:rPr>
        <w:t>867</w:t>
      </w:r>
      <w:r w:rsidR="00CE07DF" w:rsidRPr="00CE07DF">
        <w:rPr>
          <w:rFonts w:ascii="仿宋_GB2312" w:eastAsia="仿宋_GB2312" w:hint="eastAsia"/>
          <w:sz w:val="32"/>
          <w:szCs w:val="32"/>
        </w:rPr>
        <w:t>件（其中</w:t>
      </w:r>
      <w:r w:rsidR="00CE07DF">
        <w:rPr>
          <w:rFonts w:ascii="仿宋_GB2312" w:eastAsia="仿宋_GB2312" w:hint="eastAsia"/>
          <w:sz w:val="32"/>
          <w:szCs w:val="32"/>
        </w:rPr>
        <w:t>一审</w:t>
      </w:r>
      <w:r w:rsidR="00CE07DF" w:rsidRPr="00CE07DF">
        <w:rPr>
          <w:rFonts w:ascii="仿宋_GB2312" w:eastAsia="仿宋_GB2312" w:hint="eastAsia"/>
          <w:sz w:val="32"/>
          <w:szCs w:val="32"/>
        </w:rPr>
        <w:t>上诉案件</w:t>
      </w:r>
      <w:r w:rsidR="00CE07DF">
        <w:rPr>
          <w:rFonts w:ascii="仿宋_GB2312" w:eastAsia="仿宋_GB2312" w:hint="eastAsia"/>
          <w:sz w:val="32"/>
          <w:szCs w:val="32"/>
        </w:rPr>
        <w:t>待上网</w:t>
      </w:r>
      <w:r w:rsidR="00CE07DF" w:rsidRPr="00CE07DF">
        <w:rPr>
          <w:rFonts w:ascii="仿宋_GB2312" w:eastAsia="仿宋_GB2312" w:hint="eastAsia"/>
          <w:sz w:val="32"/>
          <w:szCs w:val="32"/>
        </w:rPr>
        <w:t>140件、敏感</w:t>
      </w:r>
      <w:r w:rsidR="00CE07DF">
        <w:rPr>
          <w:rFonts w:ascii="仿宋_GB2312" w:eastAsia="仿宋_GB2312" w:hint="eastAsia"/>
          <w:sz w:val="32"/>
          <w:szCs w:val="32"/>
        </w:rPr>
        <w:t>（被拦截）</w:t>
      </w:r>
      <w:r w:rsidR="00CE07DF" w:rsidRPr="00CE07DF">
        <w:rPr>
          <w:rFonts w:ascii="仿宋_GB2312" w:eastAsia="仿宋_GB2312" w:hint="eastAsia"/>
          <w:sz w:val="32"/>
          <w:szCs w:val="32"/>
        </w:rPr>
        <w:t>文书134件，</w:t>
      </w:r>
      <w:r w:rsidR="00CE07DF">
        <w:rPr>
          <w:rFonts w:ascii="仿宋_GB2312" w:eastAsia="仿宋_GB2312" w:hint="eastAsia"/>
          <w:sz w:val="32"/>
          <w:szCs w:val="32"/>
        </w:rPr>
        <w:t>未生效裁判文书19件、</w:t>
      </w:r>
      <w:r w:rsidR="00CE07DF" w:rsidRPr="00CE07DF">
        <w:rPr>
          <w:rFonts w:ascii="仿宋_GB2312" w:eastAsia="仿宋_GB2312" w:hint="eastAsia"/>
          <w:sz w:val="32"/>
          <w:szCs w:val="32"/>
        </w:rPr>
        <w:t>未成年人犯罪</w:t>
      </w:r>
      <w:r w:rsidR="00CE07DF">
        <w:rPr>
          <w:rFonts w:ascii="仿宋_GB2312" w:eastAsia="仿宋_GB2312" w:hint="eastAsia"/>
          <w:sz w:val="32"/>
          <w:szCs w:val="32"/>
        </w:rPr>
        <w:t>的</w:t>
      </w:r>
      <w:r w:rsidR="00CE07DF" w:rsidRPr="00CE07DF">
        <w:rPr>
          <w:rFonts w:ascii="仿宋_GB2312" w:eastAsia="仿宋_GB2312" w:hint="eastAsia"/>
          <w:sz w:val="32"/>
          <w:szCs w:val="32"/>
        </w:rPr>
        <w:t>1件、以调解方式结案</w:t>
      </w:r>
      <w:r w:rsidR="00CE07DF">
        <w:rPr>
          <w:rFonts w:ascii="仿宋_GB2312" w:eastAsia="仿宋_GB2312" w:hint="eastAsia"/>
          <w:sz w:val="32"/>
          <w:szCs w:val="32"/>
        </w:rPr>
        <w:t>的</w:t>
      </w:r>
      <w:r w:rsidR="00CE07DF" w:rsidRPr="00CE07DF">
        <w:rPr>
          <w:rFonts w:ascii="仿宋_GB2312" w:eastAsia="仿宋_GB2312" w:hint="eastAsia"/>
          <w:sz w:val="32"/>
          <w:szCs w:val="32"/>
        </w:rPr>
        <w:t>325件、确认人民调解协议效力的1件、离婚诉讼27件、涉及未成年子女抚养、监护的2件、人民法院认为不宜在互联网公布的其他情形153件、系统报结时间在2022年，裁判文书落款日期在2021年</w:t>
      </w:r>
      <w:r w:rsidR="00CE07DF">
        <w:rPr>
          <w:rFonts w:ascii="仿宋_GB2312" w:eastAsia="仿宋_GB2312" w:hint="eastAsia"/>
          <w:sz w:val="32"/>
          <w:szCs w:val="32"/>
        </w:rPr>
        <w:t>的</w:t>
      </w:r>
      <w:r w:rsidR="00CE07DF" w:rsidRPr="00CE07DF">
        <w:rPr>
          <w:rFonts w:ascii="仿宋_GB2312" w:eastAsia="仿宋_GB2312" w:hint="eastAsia"/>
          <w:sz w:val="32"/>
          <w:szCs w:val="32"/>
        </w:rPr>
        <w:t>65件</w:t>
      </w:r>
      <w:r w:rsidR="00AD05A6">
        <w:rPr>
          <w:rFonts w:ascii="仿宋_GB2312" w:eastAsia="仿宋_GB2312" w:hint="eastAsia"/>
          <w:sz w:val="32"/>
          <w:szCs w:val="32"/>
        </w:rPr>
        <w:t>，其中苟东辉27件、康倩12件、高源8件、郑洪波8件、郭帅5件、刘鹏云1件、刘馨嵘1件、苏航1件、王储1件</w:t>
      </w:r>
      <w:r w:rsidR="00CE07DF" w:rsidRPr="00CE07DF">
        <w:rPr>
          <w:rFonts w:ascii="仿宋_GB2312" w:eastAsia="仿宋_GB2312" w:hint="eastAsia"/>
          <w:sz w:val="32"/>
          <w:szCs w:val="32"/>
        </w:rPr>
        <w:t>）。</w:t>
      </w:r>
    </w:p>
    <w:sectPr w:rsidR="002C75F8" w:rsidRPr="00CE07DF" w:rsidSect="00D22F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75F8"/>
    <w:rsid w:val="0003645D"/>
    <w:rsid w:val="002C75F8"/>
    <w:rsid w:val="00A44B27"/>
    <w:rsid w:val="00AD05A6"/>
    <w:rsid w:val="00CE07DF"/>
    <w:rsid w:val="00D2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43</Words>
  <Characters>251</Characters>
  <Application>Microsoft Office Word</Application>
  <DocSecurity>0</DocSecurity>
  <Lines>2</Lines>
  <Paragraphs>1</Paragraphs>
  <ScaleCrop>false</ScaleCrop>
  <Company>微软中国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孙梦克</dc:creator>
  <cp:keywords/>
  <dc:description/>
  <cp:lastModifiedBy>孙梦克</cp:lastModifiedBy>
  <cp:revision>4</cp:revision>
  <cp:lastPrinted>2022-06-27T02:04:00Z</cp:lastPrinted>
  <dcterms:created xsi:type="dcterms:W3CDTF">2022-06-25T07:08:00Z</dcterms:created>
  <dcterms:modified xsi:type="dcterms:W3CDTF">2022-06-27T02:05:00Z</dcterms:modified>
</cp:coreProperties>
</file>